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0CB4" w:rsidRPr="00083714" w:rsidRDefault="00C70CB4" w:rsidP="00C70CB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70CB4" w:rsidRPr="00083714" w:rsidRDefault="00C70CB4" w:rsidP="00C70CB4">
      <w:pPr>
        <w:pStyle w:val="Naslov2"/>
        <w:tabs>
          <w:tab w:val="left" w:pos="3120"/>
        </w:tabs>
        <w:spacing w:before="240"/>
        <w:jc w:val="center"/>
        <w:rPr>
          <w:b w:val="0"/>
          <w:bCs w:val="0"/>
          <w:i/>
          <w:iCs/>
          <w:sz w:val="22"/>
        </w:rPr>
      </w:pPr>
      <w:r w:rsidRPr="00083714">
        <w:rPr>
          <w:sz w:val="22"/>
        </w:rPr>
        <w:t>Slovensko gospodarsko in raziskovalno združenje, Bruselj</w:t>
      </w:r>
    </w:p>
    <w:p w:rsidR="00C70CB4" w:rsidRPr="00083714" w:rsidRDefault="00C70CB4" w:rsidP="00C70CB4">
      <w:pPr>
        <w:pBdr>
          <w:bottom w:val="single" w:sz="6" w:space="1" w:color="auto"/>
        </w:pBdr>
        <w:tabs>
          <w:tab w:val="left" w:pos="3120"/>
        </w:tabs>
        <w:spacing w:before="240"/>
        <w:jc w:val="center"/>
        <w:rPr>
          <w:sz w:val="16"/>
          <w:szCs w:val="16"/>
        </w:rPr>
      </w:pPr>
    </w:p>
    <w:p w:rsidR="00C70CB4" w:rsidRDefault="00C70CB4" w:rsidP="00C70CB4">
      <w:pPr>
        <w:tabs>
          <w:tab w:val="left" w:pos="3120"/>
        </w:tabs>
        <w:spacing w:before="240"/>
        <w:rPr>
          <w:b/>
        </w:rPr>
      </w:pPr>
      <w:r w:rsidRPr="00083714">
        <w:rPr>
          <w:b/>
        </w:rPr>
        <w:tab/>
      </w:r>
      <w:r>
        <w:rPr>
          <w:b/>
        </w:rPr>
        <w:t>Občasna informacija članom 107</w:t>
      </w:r>
      <w:r w:rsidRPr="00083714">
        <w:rPr>
          <w:b/>
        </w:rPr>
        <w:t xml:space="preserve"> – 20</w:t>
      </w:r>
      <w:r>
        <w:rPr>
          <w:b/>
        </w:rPr>
        <w:t>20</w:t>
      </w:r>
    </w:p>
    <w:p w:rsidR="00C70CB4" w:rsidRPr="00083714" w:rsidRDefault="00C70CB4" w:rsidP="00C70CB4">
      <w:pPr>
        <w:tabs>
          <w:tab w:val="left" w:pos="3120"/>
        </w:tabs>
        <w:spacing w:before="240"/>
        <w:jc w:val="center"/>
        <w:rPr>
          <w:b/>
        </w:rPr>
      </w:pPr>
      <w:r>
        <w:rPr>
          <w:b/>
        </w:rPr>
        <w:t xml:space="preserve">06. julij </w:t>
      </w:r>
      <w:r w:rsidRPr="00083714">
        <w:rPr>
          <w:b/>
        </w:rPr>
        <w:t xml:space="preserve"> 20</w:t>
      </w:r>
      <w:r>
        <w:rPr>
          <w:b/>
        </w:rPr>
        <w:t>20</w:t>
      </w:r>
    </w:p>
    <w:p w:rsidR="00C70CB4" w:rsidRDefault="00C70CB4" w:rsidP="00C70CB4">
      <w:pPr>
        <w:jc w:val="center"/>
        <w:rPr>
          <w:rFonts w:ascii="Arial" w:hAnsi="Arial" w:cs="Arial"/>
          <w:b/>
          <w:i/>
        </w:rPr>
      </w:pPr>
      <w:r>
        <w:rPr>
          <w:b/>
          <w:color w:val="993300"/>
          <w:sz w:val="32"/>
          <w:szCs w:val="32"/>
        </w:rPr>
        <w:t>Med 1500 inovatorji, ki so se prijavili na razpis za rešitve krize COVID-19, so tudi Slovenci</w:t>
      </w:r>
    </w:p>
    <w:p w:rsidR="0052277F" w:rsidRPr="00D66A6B" w:rsidRDefault="0052277F" w:rsidP="005D4780">
      <w:pPr>
        <w:jc w:val="both"/>
        <w:rPr>
          <w:rFonts w:ascii="Arial" w:hAnsi="Arial" w:cs="Arial"/>
          <w:b/>
          <w:i/>
        </w:rPr>
      </w:pPr>
      <w:r w:rsidRPr="00D66A6B">
        <w:rPr>
          <w:rFonts w:ascii="Arial" w:hAnsi="Arial" w:cs="Arial"/>
          <w:b/>
          <w:i/>
        </w:rPr>
        <w:t>Nekaj manj kot 1500 inovatorjev iz 44 držav, med katerimi je vseh 27 članic EU, torej tudi Slovenija, se je prijavilo na razpis Evropskega inštituta za inovacije in tehnologije (EIT) za razdelitev 60 milijonov evrov za rešitve krize, ki jo je povzročil COVID-19. EIT je sredstva zagotovil osmim skupnostim znanja in inovacij (KIC), ki bodo poskrbele, da jih bodo dobili izbrani kandidati. Člani o EIT in KIC lahko dobijo več informacij na SBRA.</w:t>
      </w:r>
    </w:p>
    <w:p w:rsidR="001D3305" w:rsidRPr="005D4780" w:rsidRDefault="0052277F" w:rsidP="005D4780">
      <w:pPr>
        <w:jc w:val="both"/>
        <w:rPr>
          <w:rFonts w:ascii="Arial" w:hAnsi="Arial" w:cs="Arial"/>
          <w:sz w:val="20"/>
          <w:szCs w:val="20"/>
        </w:rPr>
      </w:pPr>
      <w:r w:rsidRPr="005D4780">
        <w:rPr>
          <w:rFonts w:ascii="Arial" w:hAnsi="Arial" w:cs="Arial"/>
          <w:sz w:val="20"/>
          <w:szCs w:val="20"/>
        </w:rPr>
        <w:t>Od 60 milijonov evrov bodo 60 odstotkov dobila visoko inovativna zagonska podjetja, hitrorastoča podjetja (</w:t>
      </w:r>
      <w:proofErr w:type="spellStart"/>
      <w:r w:rsidRPr="005D4780">
        <w:rPr>
          <w:rFonts w:ascii="Arial" w:hAnsi="Arial" w:cs="Arial"/>
          <w:sz w:val="20"/>
          <w:szCs w:val="20"/>
        </w:rPr>
        <w:t>scale</w:t>
      </w:r>
      <w:proofErr w:type="spellEnd"/>
      <w:r w:rsidRPr="005D4780">
        <w:rPr>
          <w:rFonts w:ascii="Arial" w:hAnsi="Arial" w:cs="Arial"/>
          <w:sz w:val="20"/>
          <w:szCs w:val="20"/>
        </w:rPr>
        <w:t>-</w:t>
      </w:r>
      <w:proofErr w:type="spellStart"/>
      <w:r w:rsidRPr="005D4780">
        <w:rPr>
          <w:rFonts w:ascii="Arial" w:hAnsi="Arial" w:cs="Arial"/>
          <w:sz w:val="20"/>
          <w:szCs w:val="20"/>
        </w:rPr>
        <w:t>ups</w:t>
      </w:r>
      <w:proofErr w:type="spellEnd"/>
      <w:r w:rsidRPr="005D4780">
        <w:rPr>
          <w:rFonts w:ascii="Arial" w:hAnsi="Arial" w:cs="Arial"/>
          <w:sz w:val="20"/>
          <w:szCs w:val="20"/>
        </w:rPr>
        <w:t>), majhna in srednja podjetja. Za inovativne projekte, ki se izvajajo kot</w:t>
      </w:r>
      <w:r w:rsidR="001D3305" w:rsidRPr="005D4780">
        <w:rPr>
          <w:rFonts w:ascii="Arial" w:hAnsi="Arial" w:cs="Arial"/>
          <w:sz w:val="20"/>
          <w:szCs w:val="20"/>
        </w:rPr>
        <w:t xml:space="preserve"> odgovor na pandemijo, bo na voljo preostalih 40 odstotkov sredstev. Vsi ukrepi morajo biti izvedeni v letu 2020.</w:t>
      </w:r>
    </w:p>
    <w:p w:rsidR="001D3305" w:rsidRPr="00D66A6B" w:rsidRDefault="001D3305" w:rsidP="005D4780">
      <w:pPr>
        <w:jc w:val="both"/>
        <w:rPr>
          <w:rFonts w:ascii="Arial" w:hAnsi="Arial" w:cs="Arial"/>
          <w:b/>
          <w:sz w:val="20"/>
          <w:szCs w:val="20"/>
        </w:rPr>
      </w:pPr>
      <w:r w:rsidRPr="00D66A6B">
        <w:rPr>
          <w:rFonts w:ascii="Arial" w:hAnsi="Arial" w:cs="Arial"/>
          <w:b/>
          <w:sz w:val="20"/>
          <w:szCs w:val="20"/>
        </w:rPr>
        <w:t>Tabela 1: Prikaz razdelitve sredstev med osmimi KIC</w:t>
      </w:r>
    </w:p>
    <w:tbl>
      <w:tblPr>
        <w:tblStyle w:val="Tabela-mrea"/>
        <w:tblW w:w="0" w:type="auto"/>
        <w:tblLook w:val="04A0"/>
      </w:tblPr>
      <w:tblGrid>
        <w:gridCol w:w="4606"/>
        <w:gridCol w:w="4606"/>
      </w:tblGrid>
      <w:tr w:rsidR="001D3305" w:rsidRPr="005D4780" w:rsidTr="001D3305">
        <w:tc>
          <w:tcPr>
            <w:tcW w:w="4606" w:type="dxa"/>
          </w:tcPr>
          <w:p w:rsidR="001D3305" w:rsidRPr="00D66A6B" w:rsidRDefault="001D3305" w:rsidP="005D4780">
            <w:pPr>
              <w:jc w:val="both"/>
              <w:rPr>
                <w:rFonts w:ascii="Arial" w:hAnsi="Arial" w:cs="Arial"/>
                <w:b/>
                <w:sz w:val="20"/>
                <w:szCs w:val="20"/>
              </w:rPr>
            </w:pPr>
            <w:r w:rsidRPr="00D66A6B">
              <w:rPr>
                <w:rFonts w:ascii="Arial" w:hAnsi="Arial" w:cs="Arial"/>
                <w:b/>
                <w:sz w:val="20"/>
                <w:szCs w:val="20"/>
              </w:rPr>
              <w:t>KIC</w:t>
            </w:r>
          </w:p>
        </w:tc>
        <w:tc>
          <w:tcPr>
            <w:tcW w:w="4606" w:type="dxa"/>
          </w:tcPr>
          <w:p w:rsidR="001D3305" w:rsidRPr="00D66A6B" w:rsidRDefault="001D3305" w:rsidP="005D4780">
            <w:pPr>
              <w:jc w:val="both"/>
              <w:rPr>
                <w:rFonts w:ascii="Arial" w:hAnsi="Arial" w:cs="Arial"/>
                <w:b/>
                <w:sz w:val="20"/>
                <w:szCs w:val="20"/>
              </w:rPr>
            </w:pPr>
            <w:r w:rsidRPr="00D66A6B">
              <w:rPr>
                <w:rFonts w:ascii="Arial" w:hAnsi="Arial" w:cs="Arial"/>
                <w:b/>
                <w:sz w:val="20"/>
                <w:szCs w:val="20"/>
              </w:rPr>
              <w:t>Znesek v milijonih evrov</w:t>
            </w:r>
          </w:p>
        </w:tc>
      </w:tr>
      <w:tr w:rsidR="001D3305" w:rsidRPr="005D4780" w:rsidTr="001D3305">
        <w:tc>
          <w:tcPr>
            <w:tcW w:w="4606" w:type="dxa"/>
          </w:tcPr>
          <w:p w:rsidR="001D3305" w:rsidRPr="005D4780" w:rsidRDefault="001D3305" w:rsidP="005D4780">
            <w:pPr>
              <w:jc w:val="both"/>
              <w:rPr>
                <w:rFonts w:ascii="Arial" w:hAnsi="Arial" w:cs="Arial"/>
                <w:sz w:val="20"/>
                <w:szCs w:val="20"/>
              </w:rPr>
            </w:pPr>
            <w:r w:rsidRPr="005D4780">
              <w:rPr>
                <w:rFonts w:ascii="Arial" w:hAnsi="Arial" w:cs="Arial"/>
                <w:sz w:val="20"/>
                <w:szCs w:val="20"/>
              </w:rPr>
              <w:t>Podnebje</w:t>
            </w:r>
            <w:r w:rsidR="0099314C" w:rsidRPr="005D4780">
              <w:rPr>
                <w:rFonts w:ascii="Arial" w:hAnsi="Arial" w:cs="Arial"/>
                <w:sz w:val="20"/>
                <w:szCs w:val="20"/>
              </w:rPr>
              <w:t xml:space="preserve"> (</w:t>
            </w:r>
            <w:proofErr w:type="spellStart"/>
            <w:r w:rsidR="0099314C" w:rsidRPr="005D4780">
              <w:rPr>
                <w:rFonts w:ascii="Arial" w:hAnsi="Arial" w:cs="Arial"/>
                <w:sz w:val="20"/>
                <w:szCs w:val="20"/>
              </w:rPr>
              <w:t>Climate</w:t>
            </w:r>
            <w:proofErr w:type="spellEnd"/>
            <w:r w:rsidR="0099314C" w:rsidRPr="005D4780">
              <w:rPr>
                <w:rFonts w:ascii="Arial" w:hAnsi="Arial" w:cs="Arial"/>
                <w:sz w:val="20"/>
                <w:szCs w:val="20"/>
              </w:rPr>
              <w:t>)</w:t>
            </w:r>
          </w:p>
        </w:tc>
        <w:tc>
          <w:tcPr>
            <w:tcW w:w="4606" w:type="dxa"/>
          </w:tcPr>
          <w:p w:rsidR="001D3305" w:rsidRPr="005D4780" w:rsidRDefault="001D3305" w:rsidP="005D4780">
            <w:pPr>
              <w:jc w:val="both"/>
              <w:rPr>
                <w:rFonts w:ascii="Arial" w:hAnsi="Arial" w:cs="Arial"/>
                <w:sz w:val="20"/>
                <w:szCs w:val="20"/>
              </w:rPr>
            </w:pPr>
            <w:r w:rsidRPr="005D4780">
              <w:rPr>
                <w:rFonts w:ascii="Arial" w:hAnsi="Arial" w:cs="Arial"/>
                <w:sz w:val="20"/>
                <w:szCs w:val="20"/>
              </w:rPr>
              <w:t>8,4</w:t>
            </w:r>
            <w:r w:rsidR="0099314C" w:rsidRPr="005D4780">
              <w:rPr>
                <w:rFonts w:ascii="Arial" w:hAnsi="Arial" w:cs="Arial"/>
                <w:sz w:val="20"/>
                <w:szCs w:val="20"/>
              </w:rPr>
              <w:t>0</w:t>
            </w:r>
          </w:p>
        </w:tc>
      </w:tr>
      <w:tr w:rsidR="001D3305" w:rsidRPr="005D4780" w:rsidTr="001D3305">
        <w:tc>
          <w:tcPr>
            <w:tcW w:w="4606" w:type="dxa"/>
          </w:tcPr>
          <w:p w:rsidR="001D3305" w:rsidRPr="005D4780" w:rsidRDefault="001D3305" w:rsidP="005D4780">
            <w:pPr>
              <w:jc w:val="both"/>
              <w:rPr>
                <w:rFonts w:ascii="Arial" w:hAnsi="Arial" w:cs="Arial"/>
                <w:sz w:val="20"/>
                <w:szCs w:val="20"/>
              </w:rPr>
            </w:pPr>
            <w:r w:rsidRPr="005D4780">
              <w:rPr>
                <w:rFonts w:ascii="Arial" w:hAnsi="Arial" w:cs="Arial"/>
                <w:sz w:val="20"/>
                <w:szCs w:val="20"/>
              </w:rPr>
              <w:t>Digital</w:t>
            </w:r>
            <w:r w:rsidR="0099314C" w:rsidRPr="005D4780">
              <w:rPr>
                <w:rFonts w:ascii="Arial" w:hAnsi="Arial" w:cs="Arial"/>
                <w:sz w:val="20"/>
                <w:szCs w:val="20"/>
              </w:rPr>
              <w:t>izacija (</w:t>
            </w:r>
            <w:proofErr w:type="spellStart"/>
            <w:r w:rsidR="0099314C" w:rsidRPr="005D4780">
              <w:rPr>
                <w:rFonts w:ascii="Arial" w:hAnsi="Arial" w:cs="Arial"/>
                <w:sz w:val="20"/>
                <w:szCs w:val="20"/>
              </w:rPr>
              <w:t>Digital</w:t>
            </w:r>
            <w:proofErr w:type="spellEnd"/>
            <w:r w:rsidR="0099314C" w:rsidRPr="005D4780">
              <w:rPr>
                <w:rFonts w:ascii="Arial" w:hAnsi="Arial" w:cs="Arial"/>
                <w:sz w:val="20"/>
                <w:szCs w:val="20"/>
              </w:rPr>
              <w:t>)</w:t>
            </w:r>
          </w:p>
        </w:tc>
        <w:tc>
          <w:tcPr>
            <w:tcW w:w="4606" w:type="dxa"/>
          </w:tcPr>
          <w:p w:rsidR="001D3305" w:rsidRPr="005D4780" w:rsidRDefault="001D3305" w:rsidP="005D4780">
            <w:pPr>
              <w:jc w:val="both"/>
              <w:rPr>
                <w:rFonts w:ascii="Arial" w:hAnsi="Arial" w:cs="Arial"/>
                <w:sz w:val="20"/>
                <w:szCs w:val="20"/>
              </w:rPr>
            </w:pPr>
            <w:r w:rsidRPr="005D4780">
              <w:rPr>
                <w:rFonts w:ascii="Arial" w:hAnsi="Arial" w:cs="Arial"/>
                <w:sz w:val="20"/>
                <w:szCs w:val="20"/>
              </w:rPr>
              <w:t>7,65</w:t>
            </w:r>
          </w:p>
        </w:tc>
      </w:tr>
      <w:tr w:rsidR="001D3305" w:rsidRPr="005D4780" w:rsidTr="001D3305">
        <w:tc>
          <w:tcPr>
            <w:tcW w:w="4606" w:type="dxa"/>
          </w:tcPr>
          <w:p w:rsidR="001D3305" w:rsidRPr="005D4780" w:rsidRDefault="001D3305" w:rsidP="005D4780">
            <w:pPr>
              <w:jc w:val="both"/>
              <w:rPr>
                <w:rFonts w:ascii="Arial" w:hAnsi="Arial" w:cs="Arial"/>
                <w:sz w:val="20"/>
                <w:szCs w:val="20"/>
              </w:rPr>
            </w:pPr>
            <w:r w:rsidRPr="005D4780">
              <w:rPr>
                <w:rFonts w:ascii="Arial" w:hAnsi="Arial" w:cs="Arial"/>
                <w:sz w:val="20"/>
                <w:szCs w:val="20"/>
              </w:rPr>
              <w:t>Hrana</w:t>
            </w:r>
            <w:r w:rsidR="0099314C" w:rsidRPr="005D4780">
              <w:rPr>
                <w:rFonts w:ascii="Arial" w:hAnsi="Arial" w:cs="Arial"/>
                <w:sz w:val="20"/>
                <w:szCs w:val="20"/>
              </w:rPr>
              <w:t xml:space="preserve"> (</w:t>
            </w:r>
            <w:proofErr w:type="spellStart"/>
            <w:r w:rsidR="0099314C" w:rsidRPr="005D4780">
              <w:rPr>
                <w:rFonts w:ascii="Arial" w:hAnsi="Arial" w:cs="Arial"/>
                <w:sz w:val="20"/>
                <w:szCs w:val="20"/>
              </w:rPr>
              <w:t>Food</w:t>
            </w:r>
            <w:proofErr w:type="spellEnd"/>
            <w:r w:rsidR="0099314C" w:rsidRPr="005D4780">
              <w:rPr>
                <w:rFonts w:ascii="Arial" w:hAnsi="Arial" w:cs="Arial"/>
                <w:sz w:val="20"/>
                <w:szCs w:val="20"/>
              </w:rPr>
              <w:t>)</w:t>
            </w:r>
          </w:p>
        </w:tc>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10,25</w:t>
            </w:r>
          </w:p>
        </w:tc>
      </w:tr>
      <w:tr w:rsidR="001D3305" w:rsidRPr="005D4780" w:rsidTr="001D3305">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Zdravje (</w:t>
            </w:r>
            <w:proofErr w:type="spellStart"/>
            <w:r w:rsidRPr="005D4780">
              <w:rPr>
                <w:rFonts w:ascii="Arial" w:hAnsi="Arial" w:cs="Arial"/>
                <w:sz w:val="20"/>
                <w:szCs w:val="20"/>
              </w:rPr>
              <w:t>Health</w:t>
            </w:r>
            <w:proofErr w:type="spellEnd"/>
            <w:r w:rsidRPr="005D4780">
              <w:rPr>
                <w:rFonts w:ascii="Arial" w:hAnsi="Arial" w:cs="Arial"/>
                <w:sz w:val="20"/>
                <w:szCs w:val="20"/>
              </w:rPr>
              <w:t>)</w:t>
            </w:r>
          </w:p>
        </w:tc>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9,85</w:t>
            </w:r>
          </w:p>
        </w:tc>
      </w:tr>
      <w:tr w:rsidR="001D3305" w:rsidRPr="005D4780" w:rsidTr="001D3305">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Inovativna energija (</w:t>
            </w:r>
            <w:proofErr w:type="spellStart"/>
            <w:r w:rsidRPr="005D4780">
              <w:rPr>
                <w:rFonts w:ascii="Arial" w:hAnsi="Arial" w:cs="Arial"/>
                <w:sz w:val="20"/>
                <w:szCs w:val="20"/>
              </w:rPr>
              <w:t>InnoEnergy</w:t>
            </w:r>
            <w:proofErr w:type="spellEnd"/>
            <w:r w:rsidRPr="005D4780">
              <w:rPr>
                <w:rFonts w:ascii="Arial" w:hAnsi="Arial" w:cs="Arial"/>
                <w:sz w:val="20"/>
                <w:szCs w:val="20"/>
              </w:rPr>
              <w:t>)</w:t>
            </w:r>
          </w:p>
        </w:tc>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7,40</w:t>
            </w:r>
          </w:p>
        </w:tc>
      </w:tr>
      <w:tr w:rsidR="001D3305" w:rsidRPr="005D4780" w:rsidTr="001D3305">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Surovine (</w:t>
            </w:r>
            <w:proofErr w:type="spellStart"/>
            <w:r w:rsidRPr="005D4780">
              <w:rPr>
                <w:rFonts w:ascii="Arial" w:hAnsi="Arial" w:cs="Arial"/>
                <w:sz w:val="20"/>
                <w:szCs w:val="20"/>
              </w:rPr>
              <w:t>RawMaterials</w:t>
            </w:r>
            <w:proofErr w:type="spellEnd"/>
            <w:r w:rsidRPr="005D4780">
              <w:rPr>
                <w:rFonts w:ascii="Arial" w:hAnsi="Arial" w:cs="Arial"/>
                <w:sz w:val="20"/>
                <w:szCs w:val="20"/>
              </w:rPr>
              <w:t>)</w:t>
            </w:r>
          </w:p>
        </w:tc>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9,80</w:t>
            </w:r>
          </w:p>
        </w:tc>
      </w:tr>
      <w:tr w:rsidR="001D3305" w:rsidRPr="005D4780" w:rsidTr="001D3305">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Proizvodnja (</w:t>
            </w:r>
            <w:proofErr w:type="spellStart"/>
            <w:r w:rsidRPr="005D4780">
              <w:rPr>
                <w:rFonts w:ascii="Arial" w:hAnsi="Arial" w:cs="Arial"/>
                <w:sz w:val="20"/>
                <w:szCs w:val="20"/>
              </w:rPr>
              <w:t>Manufacturing</w:t>
            </w:r>
            <w:proofErr w:type="spellEnd"/>
            <w:r w:rsidRPr="005D4780">
              <w:rPr>
                <w:rFonts w:ascii="Arial" w:hAnsi="Arial" w:cs="Arial"/>
                <w:sz w:val="20"/>
                <w:szCs w:val="20"/>
              </w:rPr>
              <w:t>)</w:t>
            </w:r>
          </w:p>
        </w:tc>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3,30</w:t>
            </w:r>
          </w:p>
        </w:tc>
      </w:tr>
      <w:tr w:rsidR="001D3305" w:rsidRPr="005D4780" w:rsidTr="001D3305">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 xml:space="preserve">Urbana mobilnost (Urban </w:t>
            </w:r>
            <w:proofErr w:type="spellStart"/>
            <w:r w:rsidRPr="005D4780">
              <w:rPr>
                <w:rFonts w:ascii="Arial" w:hAnsi="Arial" w:cs="Arial"/>
                <w:sz w:val="20"/>
                <w:szCs w:val="20"/>
              </w:rPr>
              <w:t>Mobility</w:t>
            </w:r>
            <w:proofErr w:type="spellEnd"/>
            <w:r w:rsidRPr="005D4780">
              <w:rPr>
                <w:rFonts w:ascii="Arial" w:hAnsi="Arial" w:cs="Arial"/>
                <w:sz w:val="20"/>
                <w:szCs w:val="20"/>
              </w:rPr>
              <w:t>)</w:t>
            </w:r>
          </w:p>
        </w:tc>
        <w:tc>
          <w:tcPr>
            <w:tcW w:w="4606" w:type="dxa"/>
          </w:tcPr>
          <w:p w:rsidR="001D3305" w:rsidRPr="005D4780" w:rsidRDefault="0099314C" w:rsidP="005D4780">
            <w:pPr>
              <w:jc w:val="both"/>
              <w:rPr>
                <w:rFonts w:ascii="Arial" w:hAnsi="Arial" w:cs="Arial"/>
                <w:sz w:val="20"/>
                <w:szCs w:val="20"/>
              </w:rPr>
            </w:pPr>
            <w:r w:rsidRPr="005D4780">
              <w:rPr>
                <w:rFonts w:ascii="Arial" w:hAnsi="Arial" w:cs="Arial"/>
                <w:sz w:val="20"/>
                <w:szCs w:val="20"/>
              </w:rPr>
              <w:t>3,35</w:t>
            </w:r>
          </w:p>
        </w:tc>
      </w:tr>
    </w:tbl>
    <w:p w:rsidR="00B71211" w:rsidRPr="005D4780" w:rsidRDefault="0052277F" w:rsidP="005D4780">
      <w:pPr>
        <w:jc w:val="both"/>
        <w:rPr>
          <w:rFonts w:ascii="Arial" w:hAnsi="Arial" w:cs="Arial"/>
          <w:sz w:val="20"/>
          <w:szCs w:val="20"/>
        </w:rPr>
      </w:pPr>
      <w:r w:rsidRPr="005D4780">
        <w:rPr>
          <w:rFonts w:ascii="Arial" w:hAnsi="Arial" w:cs="Arial"/>
          <w:sz w:val="20"/>
          <w:szCs w:val="20"/>
        </w:rPr>
        <w:t xml:space="preserve"> </w:t>
      </w:r>
      <w:r w:rsidR="0099314C" w:rsidRPr="005D4780">
        <w:rPr>
          <w:rFonts w:ascii="Arial" w:hAnsi="Arial" w:cs="Arial"/>
          <w:sz w:val="20"/>
          <w:szCs w:val="20"/>
        </w:rPr>
        <w:t>Vir: EIT</w:t>
      </w:r>
    </w:p>
    <w:p w:rsidR="0099314C" w:rsidRPr="00D66A6B" w:rsidRDefault="0099314C" w:rsidP="005D4780">
      <w:pPr>
        <w:jc w:val="both"/>
        <w:rPr>
          <w:rFonts w:ascii="Arial" w:hAnsi="Arial" w:cs="Arial"/>
          <w:b/>
          <w:sz w:val="20"/>
          <w:szCs w:val="20"/>
        </w:rPr>
      </w:pPr>
      <w:r w:rsidRPr="00D66A6B">
        <w:rPr>
          <w:rFonts w:ascii="Arial" w:hAnsi="Arial" w:cs="Arial"/>
          <w:b/>
          <w:sz w:val="20"/>
          <w:szCs w:val="20"/>
        </w:rPr>
        <w:t>Koristne informacije:</w:t>
      </w:r>
    </w:p>
    <w:p w:rsidR="0099314C" w:rsidRPr="00D66A6B" w:rsidRDefault="0099314C" w:rsidP="00D66A6B">
      <w:pPr>
        <w:pStyle w:val="Odstavekseznama"/>
        <w:numPr>
          <w:ilvl w:val="0"/>
          <w:numId w:val="1"/>
        </w:numPr>
        <w:jc w:val="both"/>
        <w:rPr>
          <w:rFonts w:ascii="Arial" w:hAnsi="Arial" w:cs="Arial"/>
          <w:sz w:val="20"/>
          <w:szCs w:val="20"/>
        </w:rPr>
      </w:pPr>
      <w:r w:rsidRPr="00D66A6B">
        <w:rPr>
          <w:rFonts w:ascii="Arial" w:hAnsi="Arial" w:cs="Arial"/>
          <w:sz w:val="20"/>
          <w:szCs w:val="20"/>
        </w:rPr>
        <w:t>Sporočilo EIT:</w:t>
      </w:r>
    </w:p>
    <w:p w:rsidR="0099314C" w:rsidRPr="00D66A6B" w:rsidRDefault="0099314C" w:rsidP="00D66A6B">
      <w:pPr>
        <w:pStyle w:val="Odstavekseznama"/>
        <w:numPr>
          <w:ilvl w:val="0"/>
          <w:numId w:val="1"/>
        </w:numPr>
        <w:jc w:val="both"/>
        <w:rPr>
          <w:rFonts w:ascii="Arial" w:hAnsi="Arial" w:cs="Arial"/>
          <w:sz w:val="20"/>
          <w:szCs w:val="20"/>
        </w:rPr>
      </w:pPr>
      <w:hyperlink r:id="rId6" w:history="1">
        <w:r w:rsidRPr="00D66A6B">
          <w:rPr>
            <w:rStyle w:val="Hiperpovezava"/>
            <w:rFonts w:ascii="Arial" w:hAnsi="Arial" w:cs="Arial"/>
            <w:sz w:val="20"/>
            <w:szCs w:val="20"/>
          </w:rPr>
          <w:t>https://eit.europa.eu/news-events/news/60-million-awarded-eit-crisis-response-initiative</w:t>
        </w:r>
      </w:hyperlink>
    </w:p>
    <w:p w:rsidR="0099314C" w:rsidRPr="005D4780" w:rsidRDefault="0099314C" w:rsidP="00D66A6B">
      <w:pPr>
        <w:spacing w:after="0"/>
        <w:jc w:val="both"/>
        <w:rPr>
          <w:rFonts w:ascii="Arial" w:hAnsi="Arial" w:cs="Arial"/>
          <w:sz w:val="20"/>
          <w:szCs w:val="20"/>
        </w:rPr>
      </w:pPr>
      <w:r w:rsidRPr="005D4780">
        <w:rPr>
          <w:rFonts w:ascii="Arial" w:hAnsi="Arial" w:cs="Arial"/>
          <w:sz w:val="20"/>
          <w:szCs w:val="20"/>
        </w:rPr>
        <w:t>Pripravila:</w:t>
      </w:r>
    </w:p>
    <w:p w:rsidR="0099314C" w:rsidRPr="005D4780" w:rsidRDefault="0099314C" w:rsidP="00D66A6B">
      <w:pPr>
        <w:spacing w:after="0"/>
        <w:jc w:val="both"/>
        <w:rPr>
          <w:rFonts w:ascii="Arial" w:hAnsi="Arial" w:cs="Arial"/>
          <w:sz w:val="20"/>
          <w:szCs w:val="20"/>
        </w:rPr>
      </w:pPr>
      <w:r w:rsidRPr="005D4780">
        <w:rPr>
          <w:rFonts w:ascii="Arial" w:hAnsi="Arial" w:cs="Arial"/>
          <w:sz w:val="20"/>
          <w:szCs w:val="20"/>
        </w:rPr>
        <w:t>Darja Kocbek</w:t>
      </w:r>
    </w:p>
    <w:sectPr w:rsidR="0099314C" w:rsidRPr="005D4780" w:rsidSect="00B7121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96716E"/>
    <w:multiLevelType w:val="hybridMultilevel"/>
    <w:tmpl w:val="A4FCCC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2277F"/>
    <w:rsid w:val="001D3305"/>
    <w:rsid w:val="0052277F"/>
    <w:rsid w:val="005D4780"/>
    <w:rsid w:val="0099314C"/>
    <w:rsid w:val="00B71211"/>
    <w:rsid w:val="00C70CB4"/>
    <w:rsid w:val="00D66A6B"/>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71211"/>
  </w:style>
  <w:style w:type="paragraph" w:styleId="Naslov2">
    <w:name w:val="heading 2"/>
    <w:basedOn w:val="Navaden"/>
    <w:next w:val="Navaden"/>
    <w:link w:val="Naslov2Znak"/>
    <w:uiPriority w:val="9"/>
    <w:semiHidden/>
    <w:unhideWhenUsed/>
    <w:qFormat/>
    <w:rsid w:val="00C70CB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1D33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99314C"/>
    <w:rPr>
      <w:color w:val="0000FF" w:themeColor="hyperlink"/>
      <w:u w:val="single"/>
    </w:rPr>
  </w:style>
  <w:style w:type="paragraph" w:styleId="Odstavekseznama">
    <w:name w:val="List Paragraph"/>
    <w:basedOn w:val="Navaden"/>
    <w:uiPriority w:val="34"/>
    <w:qFormat/>
    <w:rsid w:val="00D66A6B"/>
    <w:pPr>
      <w:ind w:left="720"/>
      <w:contextualSpacing/>
    </w:pPr>
  </w:style>
  <w:style w:type="character" w:customStyle="1" w:styleId="Naslov2Znak">
    <w:name w:val="Naslov 2 Znak"/>
    <w:basedOn w:val="Privzetapisavaodstavka"/>
    <w:link w:val="Naslov2"/>
    <w:uiPriority w:val="9"/>
    <w:semiHidden/>
    <w:rsid w:val="00C70CB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C70CB4"/>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70C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it.europa.eu/news-events/news/60-million-awarded-eit-crisis-response-initiative"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230</Words>
  <Characters>1317</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2020-06-30T17:24:00Z</dcterms:created>
  <dcterms:modified xsi:type="dcterms:W3CDTF">2020-06-30T18:09:00Z</dcterms:modified>
</cp:coreProperties>
</file>