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18" w:rsidRDefault="00763D18" w:rsidP="000B7127">
      <w:pPr>
        <w:rPr>
          <w:rFonts w:ascii="Arial" w:hAnsi="Arial" w:cs="Arial"/>
          <w:b/>
          <w:i/>
        </w:rPr>
      </w:pPr>
    </w:p>
    <w:p w:rsidR="00763D18" w:rsidRDefault="00763D18" w:rsidP="00763D18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18" w:rsidRDefault="00763D18" w:rsidP="00763D18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763D18" w:rsidRDefault="00763D18" w:rsidP="00763D1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63D18" w:rsidRDefault="00763D18" w:rsidP="00763D18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106</w:t>
      </w:r>
      <w:r w:rsidRPr="00674661">
        <w:rPr>
          <w:rFonts w:ascii="Arial" w:hAnsi="Arial" w:cs="Arial"/>
          <w:b/>
        </w:rPr>
        <w:t xml:space="preserve"> – 2017</w:t>
      </w:r>
    </w:p>
    <w:p w:rsidR="00763D18" w:rsidRPr="00674661" w:rsidRDefault="00763D18" w:rsidP="00763D18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03. jul</w:t>
      </w:r>
      <w:r w:rsidRPr="00674661">
        <w:rPr>
          <w:rFonts w:ascii="Arial" w:hAnsi="Arial" w:cs="Arial"/>
          <w:b/>
        </w:rPr>
        <w:t>ij 2017</w:t>
      </w:r>
    </w:p>
    <w:p w:rsidR="00763D18" w:rsidRDefault="00763D18" w:rsidP="00763D1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Predlog za spremembe direktive o energetski učinkovitosti stavb </w:t>
      </w:r>
    </w:p>
    <w:p w:rsidR="000B7127" w:rsidRPr="000B7127" w:rsidRDefault="000B7127" w:rsidP="000B7127">
      <w:pPr>
        <w:rPr>
          <w:rFonts w:ascii="Arial" w:hAnsi="Arial" w:cs="Arial"/>
          <w:b/>
          <w:i/>
        </w:rPr>
      </w:pPr>
      <w:r w:rsidRPr="000B7127">
        <w:rPr>
          <w:rFonts w:ascii="Arial" w:hAnsi="Arial" w:cs="Arial"/>
          <w:b/>
          <w:i/>
        </w:rPr>
        <w:t xml:space="preserve">Svet EU, ki med evropskimi institucijami predstavlja države članice,  se je dogovoril o predlogu za spremembo direktive o energetski učinkovitosti stavb. Ta predlog bo osnova za pogajanja z Evropskim parlamentom. V njem je predvideno, da bodo morale države članice vzpostaviti dolgoročne strategije prenove ter pri tem obravnavati tudi vprašanje energetske revščine. Drug pomemben element v predlogu spremenjene direktive je spodbujanje električne mobilnosti. </w:t>
      </w:r>
    </w:p>
    <w:p w:rsidR="00B459D4" w:rsidRPr="000B7127" w:rsidRDefault="000B7127" w:rsidP="000B7127">
      <w:pPr>
        <w:rPr>
          <w:rFonts w:ascii="Arial" w:hAnsi="Arial" w:cs="Arial"/>
          <w:sz w:val="20"/>
          <w:szCs w:val="20"/>
        </w:rPr>
      </w:pPr>
      <w:r w:rsidRPr="000B7127">
        <w:rPr>
          <w:rFonts w:ascii="Arial" w:hAnsi="Arial" w:cs="Arial"/>
          <w:sz w:val="20"/>
          <w:szCs w:val="20"/>
        </w:rPr>
        <w:t xml:space="preserve">Na vsaj enem od desetih parkirnih mest v </w:t>
      </w:r>
      <w:proofErr w:type="spellStart"/>
      <w:r w:rsidRPr="000B7127">
        <w:rPr>
          <w:rFonts w:ascii="Arial" w:hAnsi="Arial" w:cs="Arial"/>
          <w:sz w:val="20"/>
          <w:szCs w:val="20"/>
        </w:rPr>
        <w:t>nestanovanjskih</w:t>
      </w:r>
      <w:proofErr w:type="spellEnd"/>
      <w:r w:rsidRPr="000B7127">
        <w:rPr>
          <w:rFonts w:ascii="Arial" w:hAnsi="Arial" w:cs="Arial"/>
          <w:sz w:val="20"/>
          <w:szCs w:val="20"/>
        </w:rPr>
        <w:t xml:space="preserve"> stavbah bo moralo biti polnilno mesto za električna vozila, v stanovanjskih stavbah pa bodo morala imeti vsa parkirna mesta napeljavo kabelskih vodov. Te zahteve bodo veljale za stavbe z več kot desetimi parkirnimi mesti, če se bo z njimi kot </w:t>
      </w:r>
      <w:proofErr w:type="spellStart"/>
      <w:r w:rsidRPr="000B7127">
        <w:rPr>
          <w:rFonts w:ascii="Arial" w:hAnsi="Arial" w:cs="Arial"/>
          <w:sz w:val="20"/>
          <w:szCs w:val="20"/>
        </w:rPr>
        <w:t>sozakonodajalec</w:t>
      </w:r>
      <w:proofErr w:type="spellEnd"/>
      <w:r w:rsidRPr="000B7127">
        <w:rPr>
          <w:rFonts w:ascii="Arial" w:hAnsi="Arial" w:cs="Arial"/>
          <w:sz w:val="20"/>
          <w:szCs w:val="20"/>
        </w:rPr>
        <w:t xml:space="preserve"> strinjal tudi Evropski parlament.</w:t>
      </w:r>
    </w:p>
    <w:p w:rsidR="000B7127" w:rsidRPr="000B7127" w:rsidRDefault="000B7127" w:rsidP="000B7127">
      <w:pPr>
        <w:rPr>
          <w:rFonts w:ascii="Arial" w:hAnsi="Arial" w:cs="Arial"/>
          <w:sz w:val="20"/>
          <w:szCs w:val="20"/>
        </w:rPr>
      </w:pPr>
      <w:r w:rsidRPr="000B7127">
        <w:rPr>
          <w:rFonts w:ascii="Arial" w:hAnsi="Arial" w:cs="Arial"/>
          <w:sz w:val="20"/>
          <w:szCs w:val="20"/>
        </w:rPr>
        <w:t xml:space="preserve">V predlogu je poudarjen pomen uskladitve agend enotnega digitalnega trga in energetske unije, ker se z digitalizacijo energetskih sistemov razmere na področju energije hitro spreminjajo. </w:t>
      </w:r>
    </w:p>
    <w:p w:rsidR="000B7127" w:rsidRPr="000B7127" w:rsidRDefault="000B7127" w:rsidP="000B7127">
      <w:pPr>
        <w:rPr>
          <w:rFonts w:ascii="Arial" w:hAnsi="Arial" w:cs="Arial"/>
          <w:b/>
          <w:sz w:val="20"/>
          <w:szCs w:val="20"/>
        </w:rPr>
      </w:pPr>
      <w:r w:rsidRPr="000B7127">
        <w:rPr>
          <w:rFonts w:ascii="Arial" w:hAnsi="Arial" w:cs="Arial"/>
          <w:b/>
          <w:sz w:val="20"/>
          <w:szCs w:val="20"/>
        </w:rPr>
        <w:t>Koristne informacije:</w:t>
      </w:r>
    </w:p>
    <w:p w:rsidR="000B7127" w:rsidRPr="000B7127" w:rsidRDefault="000B7127" w:rsidP="000B712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7127">
        <w:rPr>
          <w:rFonts w:ascii="Arial" w:hAnsi="Arial" w:cs="Arial"/>
          <w:sz w:val="20"/>
          <w:szCs w:val="20"/>
        </w:rPr>
        <w:t>Predlog Sveta EU:</w:t>
      </w:r>
    </w:p>
    <w:p w:rsidR="000B7127" w:rsidRPr="000B7127" w:rsidRDefault="000B7127" w:rsidP="000B712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0B7127">
          <w:rPr>
            <w:rStyle w:val="Hiperpovezava"/>
            <w:rFonts w:ascii="Arial" w:hAnsi="Arial" w:cs="Arial"/>
            <w:sz w:val="20"/>
            <w:szCs w:val="20"/>
          </w:rPr>
          <w:t>http://data.consilium.europa.eu/doc/document/ST-10288-2017-INIT/sl/pdf</w:t>
        </w:r>
      </w:hyperlink>
    </w:p>
    <w:p w:rsidR="000B7127" w:rsidRPr="000B7127" w:rsidRDefault="000B7127" w:rsidP="000B712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7127">
        <w:rPr>
          <w:rFonts w:ascii="Arial" w:hAnsi="Arial" w:cs="Arial"/>
          <w:sz w:val="20"/>
          <w:szCs w:val="20"/>
        </w:rPr>
        <w:t>Evropska strategija za energetsko unijo:</w:t>
      </w:r>
    </w:p>
    <w:p w:rsidR="000B7127" w:rsidRPr="000B7127" w:rsidRDefault="000B7127" w:rsidP="000B712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0B7127">
          <w:rPr>
            <w:rStyle w:val="Hiperpovezava"/>
            <w:rFonts w:ascii="Arial" w:hAnsi="Arial" w:cs="Arial"/>
            <w:sz w:val="20"/>
            <w:szCs w:val="20"/>
          </w:rPr>
          <w:t>http://data.consilium.europa.eu/doc/document/ST-6594-2015-INIT/sl/pdf</w:t>
        </w:r>
      </w:hyperlink>
    </w:p>
    <w:p w:rsidR="000B7127" w:rsidRPr="000B7127" w:rsidRDefault="000B7127" w:rsidP="000B712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7127">
        <w:rPr>
          <w:rFonts w:ascii="Arial" w:hAnsi="Arial" w:cs="Arial"/>
          <w:sz w:val="20"/>
          <w:szCs w:val="20"/>
        </w:rPr>
        <w:t>Okvir za energetsko in prometno politiko EU za leto 2030:</w:t>
      </w:r>
    </w:p>
    <w:p w:rsidR="000B7127" w:rsidRPr="000B7127" w:rsidRDefault="000B7127" w:rsidP="000B712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0B7127">
          <w:rPr>
            <w:rStyle w:val="Hiperpovezava"/>
            <w:rFonts w:ascii="Arial" w:hAnsi="Arial" w:cs="Arial"/>
            <w:sz w:val="20"/>
            <w:szCs w:val="20"/>
          </w:rPr>
          <w:t>http://www.consilium.europa.eu/sl/policies/climate-change/2030-climate-and-energy-framework/</w:t>
        </w:r>
      </w:hyperlink>
    </w:p>
    <w:p w:rsidR="000B7127" w:rsidRPr="000B7127" w:rsidRDefault="000B7127" w:rsidP="000B7127">
      <w:pPr>
        <w:rPr>
          <w:rFonts w:ascii="Arial" w:hAnsi="Arial" w:cs="Arial"/>
          <w:sz w:val="20"/>
          <w:szCs w:val="20"/>
        </w:rPr>
      </w:pPr>
      <w:r w:rsidRPr="000B7127">
        <w:rPr>
          <w:rFonts w:ascii="Arial" w:hAnsi="Arial" w:cs="Arial"/>
          <w:sz w:val="20"/>
          <w:szCs w:val="20"/>
        </w:rPr>
        <w:t>Pripravila:</w:t>
      </w:r>
    </w:p>
    <w:p w:rsidR="000B7127" w:rsidRPr="000B7127" w:rsidRDefault="000B7127" w:rsidP="000B7127">
      <w:pPr>
        <w:rPr>
          <w:rFonts w:ascii="Arial" w:hAnsi="Arial" w:cs="Arial"/>
          <w:sz w:val="20"/>
          <w:szCs w:val="20"/>
        </w:rPr>
      </w:pPr>
      <w:r w:rsidRPr="000B7127">
        <w:rPr>
          <w:rFonts w:ascii="Arial" w:hAnsi="Arial" w:cs="Arial"/>
          <w:sz w:val="20"/>
          <w:szCs w:val="20"/>
        </w:rPr>
        <w:t>Darja Kocbek</w:t>
      </w:r>
    </w:p>
    <w:sectPr w:rsidR="000B7127" w:rsidRPr="000B7127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17F36"/>
    <w:multiLevelType w:val="hybridMultilevel"/>
    <w:tmpl w:val="3C1C7A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127"/>
    <w:rsid w:val="000B7127"/>
    <w:rsid w:val="006826A7"/>
    <w:rsid w:val="00763D18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63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712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B712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63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D1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lium.europa.eu/sl/policies/climate-change/2030-climate-and-energy-framewor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ta.consilium.europa.eu/doc/document/ST-6594-2015-INIT/sl/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consilium.europa.eu/doc/document/ST-10288-2017-INIT/sl/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2017-06-28T15:50:00Z</dcterms:created>
  <dcterms:modified xsi:type="dcterms:W3CDTF">2017-06-28T16:01:00Z</dcterms:modified>
</cp:coreProperties>
</file>