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90" w:rsidRPr="00467345" w:rsidRDefault="00AA1B90" w:rsidP="00AA1B90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90" w:rsidRPr="00083714" w:rsidRDefault="00AA1B90" w:rsidP="00AA1B90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AA1B90" w:rsidRPr="00083714" w:rsidRDefault="00AA1B90" w:rsidP="00AA1B90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AA1B90" w:rsidRDefault="00AA1B90" w:rsidP="00AA1B90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AA1B90" w:rsidRDefault="00AA1B90" w:rsidP="00AA1B9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105 </w:t>
      </w:r>
      <w:r w:rsidRPr="00083714">
        <w:rPr>
          <w:b/>
        </w:rPr>
        <w:t>– 20</w:t>
      </w:r>
      <w:r>
        <w:rPr>
          <w:b/>
        </w:rPr>
        <w:t>21</w:t>
      </w:r>
    </w:p>
    <w:p w:rsidR="00AA1B90" w:rsidRDefault="00AA1B90" w:rsidP="00AA1B90">
      <w:pPr>
        <w:tabs>
          <w:tab w:val="left" w:pos="3120"/>
        </w:tabs>
        <w:spacing w:after="0"/>
        <w:jc w:val="center"/>
        <w:rPr>
          <w:b/>
        </w:rPr>
      </w:pPr>
    </w:p>
    <w:p w:rsidR="00AA1B90" w:rsidRDefault="00AA1B90" w:rsidP="00AA1B90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28.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AA1B90" w:rsidRPr="00050C1F" w:rsidRDefault="00AA1B90" w:rsidP="00AA1B90">
      <w:pPr>
        <w:tabs>
          <w:tab w:val="left" w:pos="3120"/>
        </w:tabs>
        <w:spacing w:after="0"/>
        <w:jc w:val="center"/>
        <w:rPr>
          <w:b/>
        </w:rPr>
      </w:pPr>
    </w:p>
    <w:p w:rsidR="00AA1B90" w:rsidRDefault="00AA1B90" w:rsidP="00AA1B9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Slovenija v evropskem sistemu inovacijskih kazalnikov ostaja v skupini zmernih inovatork</w:t>
      </w:r>
    </w:p>
    <w:p w:rsidR="00875476" w:rsidRPr="00C11205" w:rsidRDefault="006F41F2" w:rsidP="00C11205">
      <w:pPr>
        <w:jc w:val="both"/>
        <w:rPr>
          <w:rFonts w:ascii="Arial" w:hAnsi="Arial" w:cs="Arial"/>
          <w:b/>
          <w:i/>
        </w:rPr>
      </w:pPr>
      <w:r w:rsidRPr="00C11205">
        <w:rPr>
          <w:rFonts w:ascii="Arial" w:hAnsi="Arial" w:cs="Arial"/>
          <w:b/>
          <w:i/>
        </w:rPr>
        <w:t>Evropska komisija je objavila evropski sistem inovacijskih kazalnikov za leto 2021</w:t>
      </w:r>
      <w:r w:rsidR="00C11205">
        <w:rPr>
          <w:rFonts w:ascii="Arial" w:hAnsi="Arial" w:cs="Arial"/>
          <w:b/>
          <w:i/>
        </w:rPr>
        <w:t>.</w:t>
      </w:r>
      <w:r w:rsidRPr="00C11205">
        <w:rPr>
          <w:rFonts w:ascii="Arial" w:hAnsi="Arial" w:cs="Arial"/>
          <w:b/>
          <w:i/>
        </w:rPr>
        <w:t xml:space="preserve"> Slovenija ostaja v skupini zmernih inovatork</w:t>
      </w:r>
      <w:r w:rsidR="00C11205">
        <w:rPr>
          <w:rFonts w:ascii="Arial" w:hAnsi="Arial" w:cs="Arial"/>
          <w:b/>
          <w:i/>
        </w:rPr>
        <w:t xml:space="preserve"> in je</w:t>
      </w:r>
      <w:r w:rsidR="009225E6" w:rsidRPr="00C11205">
        <w:rPr>
          <w:rFonts w:ascii="Arial" w:hAnsi="Arial" w:cs="Arial"/>
          <w:b/>
          <w:i/>
        </w:rPr>
        <w:t xml:space="preserve"> v skupini desetih držav članic, ki so svojo inovacijsko uspešnost </w:t>
      </w:r>
      <w:r w:rsidR="00C11205">
        <w:rPr>
          <w:rFonts w:ascii="Arial" w:hAnsi="Arial" w:cs="Arial"/>
          <w:b/>
          <w:i/>
        </w:rPr>
        <w:t xml:space="preserve">od leta 2014 </w:t>
      </w:r>
      <w:r w:rsidR="009225E6" w:rsidRPr="00C11205">
        <w:rPr>
          <w:rFonts w:ascii="Arial" w:hAnsi="Arial" w:cs="Arial"/>
          <w:b/>
          <w:i/>
        </w:rPr>
        <w:t xml:space="preserve">najmanj povečale (za največ 10 odstotnih točk). </w:t>
      </w:r>
      <w:r w:rsidRPr="00C11205">
        <w:rPr>
          <w:rFonts w:ascii="Arial" w:hAnsi="Arial" w:cs="Arial"/>
          <w:b/>
          <w:i/>
        </w:rPr>
        <w:t>Letošnji evropski sistem inovacijskih kazalnikov temelji na revidiranem okviru, ki vključuje nove kazalnike glede digitalizacije in okoljske trajnosti, tako je sistem bolj usklajen s političnimi prednostnimi nalogami EU.</w:t>
      </w:r>
      <w:r w:rsidR="009225E6" w:rsidRPr="00C11205">
        <w:rPr>
          <w:rFonts w:ascii="Arial" w:hAnsi="Arial" w:cs="Arial"/>
          <w:b/>
          <w:i/>
        </w:rPr>
        <w:t xml:space="preserve"> </w:t>
      </w:r>
      <w:r w:rsidR="00E1063D" w:rsidRPr="00C11205">
        <w:rPr>
          <w:rFonts w:ascii="Arial" w:hAnsi="Arial" w:cs="Arial"/>
          <w:b/>
          <w:i/>
        </w:rPr>
        <w:t>Evropska komisija države članice po inovacijski uspešnosti uvršča v  štiri skupine, ki so vodilne inovatorke, močne inovatorke, zmerne inovatorke in skromne inovatorke.</w:t>
      </w:r>
    </w:p>
    <w:p w:rsidR="00E1063D" w:rsidRPr="00C11205" w:rsidRDefault="009909A4" w:rsidP="00C11205">
      <w:pPr>
        <w:jc w:val="both"/>
        <w:rPr>
          <w:rFonts w:ascii="Arial" w:hAnsi="Arial" w:cs="Arial"/>
          <w:b/>
          <w:sz w:val="20"/>
          <w:szCs w:val="20"/>
        </w:rPr>
      </w:pPr>
      <w:r w:rsidRPr="00C11205">
        <w:rPr>
          <w:rFonts w:ascii="Arial" w:hAnsi="Arial" w:cs="Arial"/>
          <w:b/>
          <w:sz w:val="20"/>
          <w:szCs w:val="20"/>
        </w:rPr>
        <w:t>Slika</w:t>
      </w:r>
      <w:r w:rsidR="00E1063D" w:rsidRPr="00C11205">
        <w:rPr>
          <w:rFonts w:ascii="Arial" w:hAnsi="Arial" w:cs="Arial"/>
          <w:b/>
          <w:sz w:val="20"/>
          <w:szCs w:val="20"/>
        </w:rPr>
        <w:t xml:space="preserve"> 1: Razvrstitev držav v skupine</w:t>
      </w:r>
    </w:p>
    <w:p w:rsidR="00E1063D" w:rsidRPr="00C11205" w:rsidRDefault="009909A4" w:rsidP="00C11205">
      <w:pPr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drawing>
          <wp:inline distT="0" distB="0" distL="0" distR="0">
            <wp:extent cx="4867275" cy="2845484"/>
            <wp:effectExtent l="19050" t="0" r="9525" b="0"/>
            <wp:docPr id="4" name="Slika 4" descr="https://ec.europa.eu/growth/sites/default/files/2_eis_page_map_of_innovation_performance_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c.europa.eu/growth/sites/default/files/2_eis_page_map_of_innovation_performance_d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961" cy="284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3D" w:rsidRPr="00C11205" w:rsidRDefault="00E1063D" w:rsidP="00C11205">
      <w:pPr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>Vir: Evropska komisija</w:t>
      </w:r>
    </w:p>
    <w:p w:rsidR="00AA1B90" w:rsidRDefault="00AA1B90" w:rsidP="00C11205">
      <w:pPr>
        <w:jc w:val="both"/>
        <w:rPr>
          <w:rFonts w:ascii="Arial" w:hAnsi="Arial" w:cs="Arial"/>
          <w:b/>
          <w:sz w:val="20"/>
          <w:szCs w:val="20"/>
        </w:rPr>
      </w:pPr>
    </w:p>
    <w:p w:rsidR="00AA1B90" w:rsidRDefault="00AA1B90" w:rsidP="00C11205">
      <w:pPr>
        <w:jc w:val="both"/>
        <w:rPr>
          <w:rFonts w:ascii="Arial" w:hAnsi="Arial" w:cs="Arial"/>
          <w:b/>
          <w:sz w:val="20"/>
          <w:szCs w:val="20"/>
        </w:rPr>
      </w:pPr>
    </w:p>
    <w:p w:rsidR="00AA1B90" w:rsidRDefault="00AA1B90" w:rsidP="00C11205">
      <w:pPr>
        <w:jc w:val="both"/>
        <w:rPr>
          <w:rFonts w:ascii="Arial" w:hAnsi="Arial" w:cs="Arial"/>
          <w:b/>
          <w:sz w:val="20"/>
          <w:szCs w:val="20"/>
        </w:rPr>
      </w:pPr>
    </w:p>
    <w:p w:rsidR="00E1063D" w:rsidRPr="00C11205" w:rsidRDefault="00FC5CF5" w:rsidP="00C11205">
      <w:pPr>
        <w:jc w:val="both"/>
        <w:rPr>
          <w:rFonts w:ascii="Arial" w:hAnsi="Arial" w:cs="Arial"/>
          <w:b/>
          <w:sz w:val="20"/>
          <w:szCs w:val="20"/>
        </w:rPr>
      </w:pPr>
      <w:r w:rsidRPr="00C11205">
        <w:rPr>
          <w:rFonts w:ascii="Arial" w:hAnsi="Arial" w:cs="Arial"/>
          <w:b/>
          <w:sz w:val="20"/>
          <w:szCs w:val="20"/>
        </w:rPr>
        <w:t>Tabela 1: Prikaz povečanja inovacijske uspešnosti držav</w:t>
      </w:r>
      <w:r w:rsidR="00C11205">
        <w:rPr>
          <w:rFonts w:ascii="Arial" w:hAnsi="Arial" w:cs="Arial"/>
          <w:b/>
          <w:sz w:val="20"/>
          <w:szCs w:val="20"/>
        </w:rPr>
        <w:t xml:space="preserve"> od leta 2014</w:t>
      </w:r>
      <w:r w:rsidRPr="00C11205">
        <w:rPr>
          <w:rFonts w:ascii="Arial" w:hAnsi="Arial" w:cs="Arial"/>
          <w:b/>
          <w:sz w:val="20"/>
          <w:szCs w:val="20"/>
        </w:rPr>
        <w:t xml:space="preserve"> </w:t>
      </w:r>
      <w:r w:rsidR="00C11205">
        <w:rPr>
          <w:rFonts w:ascii="Arial" w:hAnsi="Arial" w:cs="Arial"/>
          <w:b/>
          <w:sz w:val="20"/>
          <w:szCs w:val="20"/>
        </w:rPr>
        <w:t>do leta 2021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FC5CF5" w:rsidRPr="00C11205" w:rsidTr="00FC5CF5">
        <w:tc>
          <w:tcPr>
            <w:tcW w:w="4606" w:type="dxa"/>
          </w:tcPr>
          <w:p w:rsidR="00FC5CF5" w:rsidRPr="00C11205" w:rsidRDefault="00FC5CF5" w:rsidP="00C112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1205">
              <w:rPr>
                <w:rFonts w:ascii="Arial" w:hAnsi="Arial" w:cs="Arial"/>
                <w:b/>
                <w:sz w:val="20"/>
                <w:szCs w:val="20"/>
              </w:rPr>
              <w:t>Povečanje inovacijske uspešnos</w:t>
            </w:r>
            <w:r w:rsidR="00D62CBE">
              <w:rPr>
                <w:rFonts w:ascii="Arial" w:hAnsi="Arial" w:cs="Arial"/>
                <w:b/>
                <w:sz w:val="20"/>
                <w:szCs w:val="20"/>
              </w:rPr>
              <w:t>ti</w:t>
            </w:r>
            <w:r w:rsidRPr="00C1120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06" w:type="dxa"/>
          </w:tcPr>
          <w:p w:rsidR="00FC5CF5" w:rsidRPr="00C11205" w:rsidRDefault="00FC5CF5" w:rsidP="00C112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1205">
              <w:rPr>
                <w:rFonts w:ascii="Arial" w:hAnsi="Arial" w:cs="Arial"/>
                <w:b/>
                <w:sz w:val="20"/>
                <w:szCs w:val="20"/>
              </w:rPr>
              <w:t>Države</w:t>
            </w:r>
          </w:p>
        </w:tc>
      </w:tr>
      <w:tr w:rsidR="00FC5CF5" w:rsidRPr="00C11205" w:rsidTr="00FC5CF5">
        <w:tc>
          <w:tcPr>
            <w:tcW w:w="4606" w:type="dxa"/>
          </w:tcPr>
          <w:p w:rsidR="00FC5CF5" w:rsidRPr="00C11205" w:rsidRDefault="00FC5CF5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205">
              <w:rPr>
                <w:rFonts w:ascii="Arial" w:hAnsi="Arial" w:cs="Arial"/>
                <w:sz w:val="20"/>
                <w:szCs w:val="20"/>
              </w:rPr>
              <w:t>25 odstotnih točk ali več</w:t>
            </w:r>
          </w:p>
        </w:tc>
        <w:tc>
          <w:tcPr>
            <w:tcW w:w="4606" w:type="dxa"/>
          </w:tcPr>
          <w:p w:rsidR="00FC5CF5" w:rsidRPr="00C11205" w:rsidRDefault="00FC5CF5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205">
              <w:rPr>
                <w:rFonts w:ascii="Arial" w:hAnsi="Arial" w:cs="Arial"/>
                <w:sz w:val="20"/>
                <w:szCs w:val="20"/>
              </w:rPr>
              <w:t>Ciper, Estonija, Grčija, Italija in Litva</w:t>
            </w:r>
          </w:p>
        </w:tc>
      </w:tr>
      <w:tr w:rsidR="00FC5CF5" w:rsidRPr="00C11205" w:rsidTr="00FC5CF5">
        <w:tc>
          <w:tcPr>
            <w:tcW w:w="4606" w:type="dxa"/>
          </w:tcPr>
          <w:p w:rsidR="00FC5CF5" w:rsidRPr="00C11205" w:rsidRDefault="00D62CBE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FC5CF5" w:rsidRPr="00C11205">
              <w:rPr>
                <w:rFonts w:ascii="Arial" w:hAnsi="Arial" w:cs="Arial"/>
                <w:sz w:val="20"/>
                <w:szCs w:val="20"/>
              </w:rPr>
              <w:t>15 do 25 odstotnih točk</w:t>
            </w:r>
          </w:p>
        </w:tc>
        <w:tc>
          <w:tcPr>
            <w:tcW w:w="4606" w:type="dxa"/>
          </w:tcPr>
          <w:p w:rsidR="00FC5CF5" w:rsidRPr="00C11205" w:rsidRDefault="00FC5CF5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205">
              <w:rPr>
                <w:rFonts w:ascii="Arial" w:hAnsi="Arial" w:cs="Arial"/>
                <w:sz w:val="20"/>
                <w:szCs w:val="20"/>
              </w:rPr>
              <w:t>Belgija, Finska, Hrvaška in Švedska</w:t>
            </w:r>
          </w:p>
        </w:tc>
      </w:tr>
      <w:tr w:rsidR="00FC5CF5" w:rsidRPr="00C11205" w:rsidTr="00FC5CF5">
        <w:tc>
          <w:tcPr>
            <w:tcW w:w="4606" w:type="dxa"/>
          </w:tcPr>
          <w:p w:rsidR="00FC5CF5" w:rsidRPr="00C11205" w:rsidRDefault="00D62CBE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FC5CF5" w:rsidRPr="00C11205">
              <w:rPr>
                <w:rFonts w:ascii="Arial" w:hAnsi="Arial" w:cs="Arial"/>
                <w:sz w:val="20"/>
                <w:szCs w:val="20"/>
              </w:rPr>
              <w:t>10 do 15 odstotnih točk</w:t>
            </w:r>
          </w:p>
        </w:tc>
        <w:tc>
          <w:tcPr>
            <w:tcW w:w="4606" w:type="dxa"/>
          </w:tcPr>
          <w:p w:rsidR="00FC5CF5" w:rsidRPr="00C11205" w:rsidRDefault="00FC5CF5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205">
              <w:rPr>
                <w:rFonts w:ascii="Arial" w:hAnsi="Arial" w:cs="Arial"/>
                <w:sz w:val="20"/>
                <w:szCs w:val="20"/>
              </w:rPr>
              <w:t>Avstrija, Češka, Latvija, Malta, Nemčija, Nizozemska, Poljska in Španija</w:t>
            </w:r>
          </w:p>
        </w:tc>
      </w:tr>
      <w:tr w:rsidR="00FC5CF5" w:rsidRPr="00C11205" w:rsidTr="00FC5CF5">
        <w:tc>
          <w:tcPr>
            <w:tcW w:w="4606" w:type="dxa"/>
          </w:tcPr>
          <w:p w:rsidR="00FC5CF5" w:rsidRPr="00C11205" w:rsidRDefault="00D62CBE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FC5CF5" w:rsidRPr="00C11205">
              <w:rPr>
                <w:rFonts w:ascii="Arial" w:hAnsi="Arial" w:cs="Arial"/>
                <w:sz w:val="20"/>
                <w:szCs w:val="20"/>
              </w:rPr>
              <w:t xml:space="preserve"> 10 odstotnih točk</w:t>
            </w:r>
          </w:p>
        </w:tc>
        <w:tc>
          <w:tcPr>
            <w:tcW w:w="4606" w:type="dxa"/>
          </w:tcPr>
          <w:p w:rsidR="00FC5CF5" w:rsidRPr="00C11205" w:rsidRDefault="00B4534F" w:rsidP="00C112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205">
              <w:rPr>
                <w:rFonts w:ascii="Arial" w:hAnsi="Arial" w:cs="Arial"/>
                <w:sz w:val="20"/>
                <w:szCs w:val="20"/>
              </w:rPr>
              <w:t xml:space="preserve">Bolgarija, Danska, Francija, Irska, Luksemburg, Madžarska, Portugalska, Romunija, Slovaška, </w:t>
            </w:r>
            <w:r w:rsidRPr="00AA1B90">
              <w:rPr>
                <w:rFonts w:ascii="Arial" w:hAnsi="Arial" w:cs="Arial"/>
                <w:b/>
                <w:sz w:val="20"/>
                <w:szCs w:val="20"/>
              </w:rPr>
              <w:t>Slovenija</w:t>
            </w:r>
          </w:p>
        </w:tc>
      </w:tr>
    </w:tbl>
    <w:p w:rsidR="00FC5CF5" w:rsidRPr="00C11205" w:rsidRDefault="00B4534F" w:rsidP="00C11205">
      <w:pPr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>Vir: Evropska komisija</w:t>
      </w:r>
    </w:p>
    <w:p w:rsidR="00B4534F" w:rsidRPr="00C11205" w:rsidRDefault="009909A4" w:rsidP="00C11205">
      <w:pPr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 xml:space="preserve">Inovacijska uspešnost EU se je od leta 2014 v povprečju povečala za 12,5 odstotne točke. </w:t>
      </w:r>
    </w:p>
    <w:p w:rsidR="009909A4" w:rsidRPr="00C11205" w:rsidRDefault="009909A4" w:rsidP="00C11205">
      <w:pPr>
        <w:jc w:val="both"/>
        <w:rPr>
          <w:rFonts w:ascii="Arial" w:hAnsi="Arial" w:cs="Arial"/>
          <w:b/>
          <w:sz w:val="20"/>
          <w:szCs w:val="20"/>
        </w:rPr>
      </w:pPr>
      <w:r w:rsidRPr="00C11205">
        <w:rPr>
          <w:rFonts w:ascii="Arial" w:hAnsi="Arial" w:cs="Arial"/>
          <w:b/>
          <w:sz w:val="20"/>
          <w:szCs w:val="20"/>
        </w:rPr>
        <w:t>Koristne informacije:</w:t>
      </w:r>
    </w:p>
    <w:p w:rsidR="009909A4" w:rsidRPr="00C11205" w:rsidRDefault="009225E6" w:rsidP="00C112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>Poročilo za leto 2021:</w:t>
      </w:r>
    </w:p>
    <w:p w:rsidR="009225E6" w:rsidRPr="00C11205" w:rsidRDefault="009225E6" w:rsidP="00C112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11205">
          <w:rPr>
            <w:rStyle w:val="Hiperpovezava"/>
            <w:rFonts w:ascii="Arial" w:hAnsi="Arial" w:cs="Arial"/>
            <w:sz w:val="20"/>
            <w:szCs w:val="20"/>
          </w:rPr>
          <w:t>https://ec.europa.eu/docsroom/documents/45973</w:t>
        </w:r>
      </w:hyperlink>
    </w:p>
    <w:p w:rsidR="009225E6" w:rsidRPr="00C11205" w:rsidRDefault="009225E6" w:rsidP="00C112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>Spletna stran z informacijami o kazalniku inovacijske uspešnosti:</w:t>
      </w:r>
    </w:p>
    <w:p w:rsidR="009225E6" w:rsidRPr="00C11205" w:rsidRDefault="009225E6" w:rsidP="00C1120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C11205">
          <w:rPr>
            <w:rStyle w:val="Hiperpovezava"/>
            <w:rFonts w:ascii="Arial" w:hAnsi="Arial" w:cs="Arial"/>
            <w:sz w:val="20"/>
            <w:szCs w:val="20"/>
          </w:rPr>
          <w:t>https://ec.europa.eu/growth/industry/policy/innovation/scoreboards_sl</w:t>
        </w:r>
      </w:hyperlink>
    </w:p>
    <w:p w:rsidR="009225E6" w:rsidRPr="00C11205" w:rsidRDefault="009225E6" w:rsidP="00C112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>Pripravila:</w:t>
      </w:r>
    </w:p>
    <w:p w:rsidR="009225E6" w:rsidRPr="00C11205" w:rsidRDefault="009225E6" w:rsidP="00C1120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11205">
        <w:rPr>
          <w:rFonts w:ascii="Arial" w:hAnsi="Arial" w:cs="Arial"/>
          <w:sz w:val="20"/>
          <w:szCs w:val="20"/>
        </w:rPr>
        <w:t>Darja Kocbek</w:t>
      </w:r>
    </w:p>
    <w:p w:rsidR="009225E6" w:rsidRDefault="009225E6" w:rsidP="00C11205">
      <w:pPr>
        <w:spacing w:after="0"/>
      </w:pPr>
    </w:p>
    <w:p w:rsidR="009225E6" w:rsidRDefault="009225E6"/>
    <w:sectPr w:rsidR="009225E6" w:rsidSect="00446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747"/>
    <w:multiLevelType w:val="hybridMultilevel"/>
    <w:tmpl w:val="45AC2E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1F2"/>
    <w:rsid w:val="0044667B"/>
    <w:rsid w:val="006F41F2"/>
    <w:rsid w:val="00875476"/>
    <w:rsid w:val="009225E6"/>
    <w:rsid w:val="009909A4"/>
    <w:rsid w:val="00AA1B90"/>
    <w:rsid w:val="00B4534F"/>
    <w:rsid w:val="00C11205"/>
    <w:rsid w:val="00D62CBE"/>
    <w:rsid w:val="00E1063D"/>
    <w:rsid w:val="00FC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667B"/>
  </w:style>
  <w:style w:type="paragraph" w:styleId="Naslov2">
    <w:name w:val="heading 2"/>
    <w:basedOn w:val="Navaden"/>
    <w:link w:val="Naslov2Znak"/>
    <w:uiPriority w:val="9"/>
    <w:qFormat/>
    <w:rsid w:val="00AA1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F41F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063D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FC5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1120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AA1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industry/policy/innovation/scoreboards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ocsroom/documents/45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2021-06-22T17:42:00Z</dcterms:created>
  <dcterms:modified xsi:type="dcterms:W3CDTF">2021-06-22T18:24:00Z</dcterms:modified>
</cp:coreProperties>
</file>