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51" w:rsidRPr="00467345" w:rsidRDefault="00F82B51" w:rsidP="00F82B51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B51" w:rsidRPr="00083714" w:rsidRDefault="00F82B51" w:rsidP="00F82B51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F82B51" w:rsidRPr="00083714" w:rsidRDefault="00F82B51" w:rsidP="00F82B51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F82B51" w:rsidRDefault="00F82B51" w:rsidP="00F82B51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104 </w:t>
      </w:r>
      <w:r w:rsidRPr="00083714">
        <w:rPr>
          <w:b/>
        </w:rPr>
        <w:t>– 20</w:t>
      </w:r>
      <w:r>
        <w:rPr>
          <w:b/>
        </w:rPr>
        <w:t>22</w:t>
      </w:r>
    </w:p>
    <w:p w:rsidR="00F82B51" w:rsidRPr="0002310E" w:rsidRDefault="00F82B51" w:rsidP="00F82B51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20. junij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6851B4" w:rsidRDefault="00F82B51" w:rsidP="00F82B51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Štiri študije, ki obravnavajo različne vidike </w:t>
      </w:r>
      <w:proofErr w:type="spellStart"/>
      <w:r>
        <w:rPr>
          <w:b/>
          <w:color w:val="993300"/>
          <w:sz w:val="32"/>
          <w:szCs w:val="32"/>
        </w:rPr>
        <w:t>razogljičenja</w:t>
      </w:r>
      <w:proofErr w:type="spellEnd"/>
      <w:r>
        <w:rPr>
          <w:b/>
          <w:color w:val="993300"/>
          <w:sz w:val="32"/>
          <w:szCs w:val="32"/>
        </w:rPr>
        <w:t xml:space="preserve"> ogrevanja in hlajenja v EU</w:t>
      </w:r>
    </w:p>
    <w:p w:rsidR="001705C0" w:rsidRPr="00987C06" w:rsidRDefault="00D51A2A" w:rsidP="00987C06">
      <w:pPr>
        <w:jc w:val="both"/>
        <w:rPr>
          <w:rFonts w:ascii="Arial" w:hAnsi="Arial" w:cs="Arial"/>
          <w:b/>
          <w:i/>
        </w:rPr>
      </w:pPr>
      <w:r w:rsidRPr="00987C06">
        <w:rPr>
          <w:rFonts w:ascii="Arial" w:hAnsi="Arial" w:cs="Arial"/>
          <w:b/>
          <w:i/>
        </w:rPr>
        <w:t xml:space="preserve">Evropska komisija je objavila štiri študije, v katerih avtorji obravnavajo različne vidike </w:t>
      </w:r>
      <w:proofErr w:type="spellStart"/>
      <w:r w:rsidRPr="00987C06">
        <w:rPr>
          <w:rFonts w:ascii="Arial" w:hAnsi="Arial" w:cs="Arial"/>
          <w:b/>
          <w:i/>
        </w:rPr>
        <w:t>razogljičenja</w:t>
      </w:r>
      <w:proofErr w:type="spellEnd"/>
      <w:r w:rsidRPr="00987C06">
        <w:rPr>
          <w:rFonts w:ascii="Arial" w:hAnsi="Arial" w:cs="Arial"/>
          <w:b/>
          <w:i/>
        </w:rPr>
        <w:t xml:space="preserve"> ogrevanja in hlajenja v EU. EU obravnava </w:t>
      </w:r>
      <w:proofErr w:type="spellStart"/>
      <w:r w:rsidRPr="00987C06">
        <w:rPr>
          <w:rFonts w:ascii="Arial" w:hAnsi="Arial" w:cs="Arial"/>
          <w:b/>
          <w:i/>
        </w:rPr>
        <w:t>dekarbonizacijo</w:t>
      </w:r>
      <w:proofErr w:type="spellEnd"/>
      <w:r w:rsidRPr="00987C06">
        <w:rPr>
          <w:rFonts w:ascii="Arial" w:hAnsi="Arial" w:cs="Arial"/>
          <w:b/>
          <w:i/>
        </w:rPr>
        <w:t xml:space="preserve"> ogrevanja in hlajenja z več pravnimi instrumenti, zlasti z direktivo o obnovljivih virih energije. Vendar napredek nacionalne politike in politike EU v tem sektorju pogosto ovirajo pomanjkanje zanesljivih podatkov ter slabo poznavanje posebnosti tržnih in </w:t>
      </w:r>
      <w:proofErr w:type="spellStart"/>
      <w:r w:rsidRPr="00987C06">
        <w:rPr>
          <w:rFonts w:ascii="Arial" w:hAnsi="Arial" w:cs="Arial"/>
          <w:b/>
          <w:i/>
        </w:rPr>
        <w:t>regulativnih</w:t>
      </w:r>
      <w:proofErr w:type="spellEnd"/>
      <w:r w:rsidRPr="00987C06">
        <w:rPr>
          <w:rFonts w:ascii="Arial" w:hAnsi="Arial" w:cs="Arial"/>
          <w:b/>
          <w:i/>
        </w:rPr>
        <w:t xml:space="preserve"> okvirov. Namen študij, ki jih je objavila Evropska komisija, je podpreti izvajanje obstoječe zakonodaje EU s celovitimi in poglobljenimi analizami ključnih vidikov sektorja ogrevanja in hlajenja.</w:t>
      </w:r>
    </w:p>
    <w:p w:rsidR="00D51A2A" w:rsidRPr="00987C06" w:rsidRDefault="00550E47" w:rsidP="00987C06">
      <w:pPr>
        <w:jc w:val="both"/>
        <w:rPr>
          <w:rFonts w:ascii="Arial" w:hAnsi="Arial" w:cs="Arial"/>
          <w:sz w:val="20"/>
          <w:szCs w:val="20"/>
        </w:rPr>
      </w:pPr>
      <w:r w:rsidRPr="00987C06">
        <w:rPr>
          <w:rFonts w:ascii="Arial" w:hAnsi="Arial" w:cs="Arial"/>
          <w:sz w:val="20"/>
          <w:szCs w:val="20"/>
        </w:rPr>
        <w:t xml:space="preserve">Študija o časovnem načrtu za politično podporo </w:t>
      </w:r>
      <w:proofErr w:type="spellStart"/>
      <w:r w:rsidRPr="00987C06">
        <w:rPr>
          <w:rFonts w:ascii="Arial" w:hAnsi="Arial" w:cs="Arial"/>
          <w:sz w:val="20"/>
          <w:szCs w:val="20"/>
        </w:rPr>
        <w:t>dekarbonizaciji</w:t>
      </w:r>
      <w:proofErr w:type="spellEnd"/>
      <w:r w:rsidRPr="00987C06">
        <w:rPr>
          <w:rFonts w:ascii="Arial" w:hAnsi="Arial" w:cs="Arial"/>
          <w:sz w:val="20"/>
          <w:szCs w:val="20"/>
        </w:rPr>
        <w:t xml:space="preserve"> ogrevanja in hlajenja vsebuje analizo in priporočila za politike za področje ogrevanja prostorov v stavbah in za procesno ogrevanje v industriji. Avtorji so tudi zbrali ključno literaturo s tega področja.</w:t>
      </w:r>
    </w:p>
    <w:p w:rsidR="00550E47" w:rsidRPr="00987C06" w:rsidRDefault="00550E47" w:rsidP="00987C06">
      <w:pPr>
        <w:jc w:val="both"/>
        <w:rPr>
          <w:rFonts w:ascii="Arial" w:hAnsi="Arial" w:cs="Arial"/>
          <w:sz w:val="20"/>
          <w:szCs w:val="20"/>
        </w:rPr>
      </w:pPr>
      <w:r w:rsidRPr="00987C06">
        <w:rPr>
          <w:rFonts w:ascii="Arial" w:hAnsi="Arial" w:cs="Arial"/>
          <w:sz w:val="20"/>
          <w:szCs w:val="20"/>
        </w:rPr>
        <w:t xml:space="preserve">Študija o ogrevanju prostorov z obnovljivimi viri vsebuje pregled podatkov o porabi, tehnologijah, mešanici goriv in </w:t>
      </w:r>
      <w:proofErr w:type="spellStart"/>
      <w:r w:rsidRPr="00987C06">
        <w:rPr>
          <w:rFonts w:ascii="Arial" w:hAnsi="Arial" w:cs="Arial"/>
          <w:sz w:val="20"/>
          <w:szCs w:val="20"/>
        </w:rPr>
        <w:t>regulativnih</w:t>
      </w:r>
      <w:proofErr w:type="spellEnd"/>
      <w:r w:rsidRPr="00987C06">
        <w:rPr>
          <w:rFonts w:ascii="Arial" w:hAnsi="Arial" w:cs="Arial"/>
          <w:sz w:val="20"/>
          <w:szCs w:val="20"/>
        </w:rPr>
        <w:t xml:space="preserve"> okvirih. Predstavlja najboljše prakse za skupnosti, ki uporabljajo obnovljive vire energije, hkrati pa modelira možne poti za </w:t>
      </w:r>
      <w:proofErr w:type="spellStart"/>
      <w:r w:rsidRPr="00987C06">
        <w:rPr>
          <w:rFonts w:ascii="Arial" w:hAnsi="Arial" w:cs="Arial"/>
          <w:sz w:val="20"/>
          <w:szCs w:val="20"/>
        </w:rPr>
        <w:t>dekarbonizacijo</w:t>
      </w:r>
      <w:proofErr w:type="spellEnd"/>
      <w:r w:rsidRPr="00987C06">
        <w:rPr>
          <w:rFonts w:ascii="Arial" w:hAnsi="Arial" w:cs="Arial"/>
          <w:sz w:val="20"/>
          <w:szCs w:val="20"/>
        </w:rPr>
        <w:t>.</w:t>
      </w:r>
    </w:p>
    <w:p w:rsidR="00550E47" w:rsidRPr="00987C06" w:rsidRDefault="004C58E3" w:rsidP="00987C06">
      <w:pPr>
        <w:jc w:val="both"/>
        <w:rPr>
          <w:rFonts w:ascii="Arial" w:hAnsi="Arial" w:cs="Arial"/>
          <w:sz w:val="20"/>
          <w:szCs w:val="20"/>
        </w:rPr>
      </w:pPr>
      <w:r w:rsidRPr="00987C06">
        <w:rPr>
          <w:rFonts w:ascii="Arial" w:hAnsi="Arial" w:cs="Arial"/>
          <w:sz w:val="20"/>
          <w:szCs w:val="20"/>
        </w:rPr>
        <w:t xml:space="preserve">V študiji o daljinskem ogrevanju in hlajenju v EU so zbrani tržni in </w:t>
      </w:r>
      <w:proofErr w:type="spellStart"/>
      <w:r w:rsidRPr="00987C06">
        <w:rPr>
          <w:rFonts w:ascii="Arial" w:hAnsi="Arial" w:cs="Arial"/>
          <w:sz w:val="20"/>
          <w:szCs w:val="20"/>
        </w:rPr>
        <w:t>regulativni</w:t>
      </w:r>
      <w:proofErr w:type="spellEnd"/>
      <w:r w:rsidRPr="00987C06">
        <w:rPr>
          <w:rFonts w:ascii="Arial" w:hAnsi="Arial" w:cs="Arial"/>
          <w:sz w:val="20"/>
          <w:szCs w:val="20"/>
        </w:rPr>
        <w:t xml:space="preserve"> okviri ter deset uspešnih modelov vključevanja obnovljivih virov energije in odpadne toplote v omrežja za ogrevanje in hlajenje. Študija vključuje sedem prilog, vključno z informacijami o študijah primerov ter tehničnimi in operativnimi zahtevami.</w:t>
      </w:r>
    </w:p>
    <w:p w:rsidR="004C58E3" w:rsidRPr="00987C06" w:rsidRDefault="004C58E3" w:rsidP="00987C06">
      <w:pPr>
        <w:jc w:val="both"/>
        <w:rPr>
          <w:rFonts w:ascii="Arial" w:hAnsi="Arial" w:cs="Arial"/>
          <w:sz w:val="20"/>
          <w:szCs w:val="20"/>
        </w:rPr>
      </w:pPr>
      <w:r w:rsidRPr="00987C06">
        <w:rPr>
          <w:rFonts w:ascii="Arial" w:hAnsi="Arial" w:cs="Arial"/>
          <w:sz w:val="20"/>
          <w:szCs w:val="20"/>
        </w:rPr>
        <w:t>Študija o hlajenju iz obnovljivih virov predstavlja pregled trga EU za hlajenje in vsebuje analizo ozadja za delegirani akt o metodologiji za upoštevanje energije iz obnovljivih virov za hlajenje in daljinsko hlajenje, ki je bil sprejet 14. Decembra 2021.</w:t>
      </w:r>
    </w:p>
    <w:p w:rsidR="004C58E3" w:rsidRPr="00987C06" w:rsidRDefault="004C58E3" w:rsidP="00987C06">
      <w:pPr>
        <w:jc w:val="both"/>
        <w:rPr>
          <w:rFonts w:ascii="Arial" w:hAnsi="Arial" w:cs="Arial"/>
          <w:b/>
          <w:sz w:val="20"/>
          <w:szCs w:val="20"/>
        </w:rPr>
      </w:pPr>
      <w:r w:rsidRPr="00987C06">
        <w:rPr>
          <w:rFonts w:ascii="Arial" w:hAnsi="Arial" w:cs="Arial"/>
          <w:b/>
          <w:sz w:val="20"/>
          <w:szCs w:val="20"/>
        </w:rPr>
        <w:t>Koristne informacije:</w:t>
      </w:r>
    </w:p>
    <w:p w:rsidR="004C58E3" w:rsidRPr="00987C06" w:rsidRDefault="000E41B2" w:rsidP="00987C0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7C06">
        <w:rPr>
          <w:rFonts w:ascii="Arial" w:hAnsi="Arial" w:cs="Arial"/>
          <w:sz w:val="20"/>
          <w:szCs w:val="20"/>
        </w:rPr>
        <w:t xml:space="preserve">Študija o časovnem načrtu za politično podporo </w:t>
      </w:r>
      <w:proofErr w:type="spellStart"/>
      <w:r w:rsidRPr="00987C06">
        <w:rPr>
          <w:rFonts w:ascii="Arial" w:hAnsi="Arial" w:cs="Arial"/>
          <w:sz w:val="20"/>
          <w:szCs w:val="20"/>
        </w:rPr>
        <w:t>dekarbonizaciji</w:t>
      </w:r>
      <w:proofErr w:type="spellEnd"/>
      <w:r w:rsidRPr="00987C06">
        <w:rPr>
          <w:rFonts w:ascii="Arial" w:hAnsi="Arial" w:cs="Arial"/>
          <w:sz w:val="20"/>
          <w:szCs w:val="20"/>
        </w:rPr>
        <w:t xml:space="preserve"> ogrevanja in hlajenja:</w:t>
      </w:r>
    </w:p>
    <w:p w:rsidR="000E41B2" w:rsidRDefault="000E41B2" w:rsidP="00987C0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987C06">
          <w:rPr>
            <w:rStyle w:val="Hiperpovezava"/>
            <w:rFonts w:ascii="Arial" w:hAnsi="Arial" w:cs="Arial"/>
            <w:sz w:val="20"/>
            <w:szCs w:val="20"/>
          </w:rPr>
          <w:t>https://op.europa.eu/en/publication-detail/-/publication/f5118ffc-eabd-11ec-a534-01aa75ed71a1/language-en</w:t>
        </w:r>
      </w:hyperlink>
    </w:p>
    <w:p w:rsidR="00F82B51" w:rsidRPr="00F82B51" w:rsidRDefault="00F82B51" w:rsidP="00F82B51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0E41B2" w:rsidRPr="00987C06" w:rsidRDefault="000E41B2" w:rsidP="00987C0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7C06">
        <w:rPr>
          <w:rFonts w:ascii="Arial" w:hAnsi="Arial" w:cs="Arial"/>
          <w:sz w:val="20"/>
          <w:szCs w:val="20"/>
        </w:rPr>
        <w:lastRenderedPageBreak/>
        <w:t>Študija o ogrevanju prostorov z obnovljivimi viri:</w:t>
      </w:r>
    </w:p>
    <w:p w:rsidR="000E41B2" w:rsidRPr="00987C06" w:rsidRDefault="000E41B2" w:rsidP="00987C0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987C06">
          <w:rPr>
            <w:rStyle w:val="Hiperpovezava"/>
            <w:rFonts w:ascii="Arial" w:hAnsi="Arial" w:cs="Arial"/>
            <w:sz w:val="20"/>
            <w:szCs w:val="20"/>
          </w:rPr>
          <w:t>https://op.europa.eu/en/publication-detail/-/publication/16710ac3-eac0-11ec-a534-01aa75ed71a1/language-en</w:t>
        </w:r>
      </w:hyperlink>
    </w:p>
    <w:p w:rsidR="000E41B2" w:rsidRPr="00987C06" w:rsidRDefault="000E41B2" w:rsidP="00987C0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7C06">
        <w:rPr>
          <w:rFonts w:ascii="Arial" w:hAnsi="Arial" w:cs="Arial"/>
          <w:sz w:val="20"/>
          <w:szCs w:val="20"/>
        </w:rPr>
        <w:t>Študija o daljinskem ogrevanju in hlajenju v EU:</w:t>
      </w:r>
    </w:p>
    <w:p w:rsidR="000E41B2" w:rsidRPr="00987C06" w:rsidRDefault="000E41B2" w:rsidP="00987C0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987C06">
          <w:rPr>
            <w:rStyle w:val="Hiperpovezava"/>
            <w:rFonts w:ascii="Arial" w:hAnsi="Arial" w:cs="Arial"/>
            <w:sz w:val="20"/>
            <w:szCs w:val="20"/>
          </w:rPr>
          <w:t>https://energy.ec.europa.eu/district-heating-and-cooling-european-union_en</w:t>
        </w:r>
      </w:hyperlink>
    </w:p>
    <w:p w:rsidR="000E41B2" w:rsidRPr="00987C06" w:rsidRDefault="000E41B2" w:rsidP="00987C0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7C06">
        <w:rPr>
          <w:rFonts w:ascii="Arial" w:hAnsi="Arial" w:cs="Arial"/>
          <w:sz w:val="20"/>
          <w:szCs w:val="20"/>
        </w:rPr>
        <w:t>Študija o hlajenju iz obnovljivih virov:</w:t>
      </w:r>
    </w:p>
    <w:p w:rsidR="000E41B2" w:rsidRPr="00987C06" w:rsidRDefault="000E41B2" w:rsidP="00987C0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987C06">
          <w:rPr>
            <w:rStyle w:val="Hiperpovezava"/>
            <w:rFonts w:ascii="Arial" w:hAnsi="Arial" w:cs="Arial"/>
            <w:sz w:val="20"/>
            <w:szCs w:val="20"/>
          </w:rPr>
          <w:t>https://energy.ec.europa.eu/renewable-cooling-under-revised-renewable-energy-directive_en</w:t>
        </w:r>
      </w:hyperlink>
    </w:p>
    <w:p w:rsidR="000E41B2" w:rsidRPr="00987C06" w:rsidRDefault="000E41B2" w:rsidP="00987C0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87C06">
        <w:rPr>
          <w:rFonts w:ascii="Arial" w:hAnsi="Arial" w:cs="Arial"/>
          <w:sz w:val="20"/>
          <w:szCs w:val="20"/>
        </w:rPr>
        <w:t>Pripravila:</w:t>
      </w:r>
    </w:p>
    <w:p w:rsidR="000E41B2" w:rsidRPr="00987C06" w:rsidRDefault="000E41B2" w:rsidP="00987C0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87C06">
        <w:rPr>
          <w:rFonts w:ascii="Arial" w:hAnsi="Arial" w:cs="Arial"/>
          <w:sz w:val="20"/>
          <w:szCs w:val="20"/>
        </w:rPr>
        <w:t>Darja Kocbek</w:t>
      </w:r>
    </w:p>
    <w:p w:rsidR="000E41B2" w:rsidRDefault="000E41B2" w:rsidP="00987C06">
      <w:pPr>
        <w:spacing w:after="0"/>
      </w:pPr>
    </w:p>
    <w:p w:rsidR="000E41B2" w:rsidRDefault="000E41B2" w:rsidP="00D51A2A"/>
    <w:sectPr w:rsidR="000E41B2" w:rsidSect="00170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86FAF"/>
    <w:multiLevelType w:val="hybridMultilevel"/>
    <w:tmpl w:val="A57C28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51A2A"/>
    <w:rsid w:val="000E41B2"/>
    <w:rsid w:val="001705C0"/>
    <w:rsid w:val="004C58E3"/>
    <w:rsid w:val="00550E47"/>
    <w:rsid w:val="006851B4"/>
    <w:rsid w:val="00987C06"/>
    <w:rsid w:val="00D51A2A"/>
    <w:rsid w:val="00F8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05C0"/>
  </w:style>
  <w:style w:type="paragraph" w:styleId="Naslov2">
    <w:name w:val="heading 2"/>
    <w:basedOn w:val="Navaden"/>
    <w:link w:val="Naslov2Znak"/>
    <w:uiPriority w:val="9"/>
    <w:qFormat/>
    <w:rsid w:val="00F82B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E41B2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87C0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F82B5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2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y.ec.europa.eu/district-heating-and-cooling-european-union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.europa.eu/en/publication-detail/-/publication/16710ac3-eac0-11ec-a534-01aa75ed71a1/language-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.europa.eu/en/publication-detail/-/publication/f5118ffc-eabd-11ec-a534-01aa75ed71a1/language-e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ergy.ec.europa.eu/renewable-cooling-under-revised-renewable-energy-directive_e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2022-06-14T19:32:00Z</dcterms:created>
  <dcterms:modified xsi:type="dcterms:W3CDTF">2022-06-14T19:47:00Z</dcterms:modified>
</cp:coreProperties>
</file>