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89" w:rsidRPr="00467345" w:rsidRDefault="00AD0889" w:rsidP="00AD0889">
      <w:pPr>
        <w:tabs>
          <w:tab w:val="left" w:pos="2520"/>
          <w:tab w:val="left" w:pos="2700"/>
          <w:tab w:val="left" w:pos="3120"/>
        </w:tabs>
        <w:spacing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D0889" w:rsidRPr="00083714" w:rsidRDefault="00AD0889" w:rsidP="00AD0889">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AD0889" w:rsidRPr="00083714" w:rsidRDefault="00AD0889" w:rsidP="00AD0889">
      <w:pPr>
        <w:pBdr>
          <w:bottom w:val="single" w:sz="6" w:space="1" w:color="auto"/>
        </w:pBdr>
        <w:tabs>
          <w:tab w:val="left" w:pos="3120"/>
        </w:tabs>
        <w:spacing w:after="0"/>
        <w:jc w:val="center"/>
        <w:rPr>
          <w:sz w:val="16"/>
          <w:szCs w:val="16"/>
        </w:rPr>
      </w:pPr>
    </w:p>
    <w:p w:rsidR="00AD0889" w:rsidRDefault="00AD0889" w:rsidP="00AD0889">
      <w:pPr>
        <w:tabs>
          <w:tab w:val="left" w:pos="3120"/>
        </w:tabs>
        <w:spacing w:after="0"/>
        <w:rPr>
          <w:b/>
        </w:rPr>
      </w:pPr>
      <w:r w:rsidRPr="00083714">
        <w:rPr>
          <w:b/>
        </w:rPr>
        <w:tab/>
      </w:r>
    </w:p>
    <w:p w:rsidR="00AD0889" w:rsidRDefault="00AD0889" w:rsidP="00AD0889">
      <w:pPr>
        <w:tabs>
          <w:tab w:val="left" w:pos="3120"/>
        </w:tabs>
        <w:spacing w:after="0"/>
        <w:jc w:val="center"/>
        <w:rPr>
          <w:b/>
        </w:rPr>
      </w:pPr>
      <w:r>
        <w:rPr>
          <w:b/>
        </w:rPr>
        <w:t xml:space="preserve">Občasna informacija članom 104 </w:t>
      </w:r>
      <w:r w:rsidRPr="00083714">
        <w:rPr>
          <w:b/>
        </w:rPr>
        <w:t>– 20</w:t>
      </w:r>
      <w:r>
        <w:rPr>
          <w:b/>
        </w:rPr>
        <w:t>21</w:t>
      </w:r>
    </w:p>
    <w:p w:rsidR="00AD0889" w:rsidRDefault="00AD0889" w:rsidP="00AD0889">
      <w:pPr>
        <w:tabs>
          <w:tab w:val="left" w:pos="3120"/>
        </w:tabs>
        <w:spacing w:after="0"/>
        <w:jc w:val="center"/>
        <w:rPr>
          <w:b/>
        </w:rPr>
      </w:pPr>
    </w:p>
    <w:p w:rsidR="00AD0889" w:rsidRDefault="00AD0889" w:rsidP="00AD0889">
      <w:pPr>
        <w:tabs>
          <w:tab w:val="left" w:pos="3120"/>
        </w:tabs>
        <w:spacing w:after="0"/>
        <w:jc w:val="center"/>
        <w:rPr>
          <w:b/>
        </w:rPr>
      </w:pPr>
      <w:r>
        <w:rPr>
          <w:b/>
        </w:rPr>
        <w:t xml:space="preserve">21. junij </w:t>
      </w:r>
      <w:r w:rsidRPr="00083714">
        <w:rPr>
          <w:b/>
        </w:rPr>
        <w:t xml:space="preserve"> 20</w:t>
      </w:r>
      <w:r>
        <w:rPr>
          <w:b/>
        </w:rPr>
        <w:t>21</w:t>
      </w:r>
    </w:p>
    <w:p w:rsidR="00AD0889" w:rsidRPr="00050C1F" w:rsidRDefault="00AD0889" w:rsidP="00AD0889">
      <w:pPr>
        <w:tabs>
          <w:tab w:val="left" w:pos="3120"/>
        </w:tabs>
        <w:spacing w:after="0"/>
        <w:jc w:val="center"/>
        <w:rPr>
          <w:b/>
        </w:rPr>
      </w:pPr>
    </w:p>
    <w:p w:rsidR="00AD0889" w:rsidRDefault="00AD0889" w:rsidP="00AD0889">
      <w:pPr>
        <w:jc w:val="center"/>
        <w:rPr>
          <w:rFonts w:ascii="Arial" w:hAnsi="Arial" w:cs="Arial"/>
          <w:b/>
          <w:i/>
        </w:rPr>
      </w:pPr>
      <w:r>
        <w:rPr>
          <w:b/>
          <w:color w:val="993300"/>
          <w:sz w:val="32"/>
          <w:szCs w:val="32"/>
        </w:rPr>
        <w:t>Objavljen je razpis za nagrado Načrti za trajnostno urbano mobilnost (SUMP)</w:t>
      </w:r>
    </w:p>
    <w:p w:rsidR="0012001B" w:rsidRPr="000D3706" w:rsidRDefault="008D6458" w:rsidP="000D3706">
      <w:pPr>
        <w:jc w:val="both"/>
        <w:rPr>
          <w:rFonts w:ascii="Arial" w:hAnsi="Arial" w:cs="Arial"/>
          <w:b/>
          <w:i/>
        </w:rPr>
      </w:pPr>
      <w:r w:rsidRPr="000D3706">
        <w:rPr>
          <w:rFonts w:ascii="Arial" w:hAnsi="Arial" w:cs="Arial"/>
          <w:b/>
          <w:i/>
        </w:rPr>
        <w:t>Evropska komisija je objavila razpis za zbiranje predlogov za nagrado Načrti za trajnostno urbano mobilnost (</w:t>
      </w:r>
      <w:proofErr w:type="spellStart"/>
      <w:r w:rsidRPr="000D3706">
        <w:rPr>
          <w:rFonts w:ascii="Arial" w:hAnsi="Arial" w:cs="Arial"/>
          <w:b/>
          <w:i/>
        </w:rPr>
        <w:t>Sustainable</w:t>
      </w:r>
      <w:proofErr w:type="spellEnd"/>
      <w:r w:rsidRPr="000D3706">
        <w:rPr>
          <w:rFonts w:ascii="Arial" w:hAnsi="Arial" w:cs="Arial"/>
          <w:b/>
          <w:i/>
        </w:rPr>
        <w:t xml:space="preserve"> Urban </w:t>
      </w:r>
      <w:proofErr w:type="spellStart"/>
      <w:r w:rsidRPr="000D3706">
        <w:rPr>
          <w:rFonts w:ascii="Arial" w:hAnsi="Arial" w:cs="Arial"/>
          <w:b/>
          <w:i/>
        </w:rPr>
        <w:t>Mobility</w:t>
      </w:r>
      <w:proofErr w:type="spellEnd"/>
      <w:r w:rsidRPr="000D3706">
        <w:rPr>
          <w:rFonts w:ascii="Arial" w:hAnsi="Arial" w:cs="Arial"/>
          <w:b/>
          <w:i/>
        </w:rPr>
        <w:t xml:space="preserve"> </w:t>
      </w:r>
      <w:proofErr w:type="spellStart"/>
      <w:r w:rsidRPr="000D3706">
        <w:rPr>
          <w:rFonts w:ascii="Arial" w:hAnsi="Arial" w:cs="Arial"/>
          <w:b/>
          <w:i/>
        </w:rPr>
        <w:t>Plans</w:t>
      </w:r>
      <w:proofErr w:type="spellEnd"/>
      <w:r w:rsidRPr="000D3706">
        <w:rPr>
          <w:rFonts w:ascii="Arial" w:hAnsi="Arial" w:cs="Arial"/>
          <w:b/>
          <w:i/>
        </w:rPr>
        <w:t xml:space="preserve"> – SUMP). Tema letošnjega razpisa je Bodi varen in zdrav s trajnostno mobilnostjo. Rok za oddajo prijav se izteče 31. oktobra. </w:t>
      </w:r>
      <w:r w:rsidR="00D54512" w:rsidRPr="000D3706">
        <w:rPr>
          <w:rFonts w:ascii="Arial" w:hAnsi="Arial" w:cs="Arial"/>
          <w:b/>
          <w:i/>
        </w:rPr>
        <w:t>Namen nagrade je spodbuditi lokalne oblasti, da pripravijo in sprejmejo svoje načrte za trajnostno urbano mobilnost. Ta nagrada je dopolnitev nagrade Evropskega tedna mobilnosti. Med finalisti prve nagrade pred desetimi leti je bil Ljutomer. Člani lahko dobijo več informacij na SBRA.</w:t>
      </w:r>
    </w:p>
    <w:p w:rsidR="00D54512" w:rsidRPr="000D3706" w:rsidRDefault="00D54512" w:rsidP="000D3706">
      <w:pPr>
        <w:jc w:val="both"/>
        <w:rPr>
          <w:rFonts w:ascii="Arial" w:hAnsi="Arial" w:cs="Arial"/>
          <w:sz w:val="20"/>
          <w:szCs w:val="20"/>
        </w:rPr>
      </w:pPr>
      <w:r w:rsidRPr="000D3706">
        <w:rPr>
          <w:rFonts w:ascii="Arial" w:hAnsi="Arial" w:cs="Arial"/>
          <w:sz w:val="20"/>
          <w:szCs w:val="20"/>
        </w:rPr>
        <w:t xml:space="preserve">Namen letošnje teme je spodbuditi lokalne oblasti , da predstavijo svoj načrt za oblikovanje varnejšega in bolj zdravega sistema mobilnosti in obenem vrnejo zaupanje v storitve javnega prevoza. </w:t>
      </w:r>
    </w:p>
    <w:p w:rsidR="001841B3" w:rsidRPr="000D3706" w:rsidRDefault="001841B3" w:rsidP="000D3706">
      <w:pPr>
        <w:jc w:val="both"/>
        <w:rPr>
          <w:rFonts w:ascii="Arial" w:hAnsi="Arial" w:cs="Arial"/>
          <w:b/>
          <w:sz w:val="20"/>
          <w:szCs w:val="20"/>
        </w:rPr>
      </w:pPr>
      <w:r w:rsidRPr="000D3706">
        <w:rPr>
          <w:rFonts w:ascii="Arial" w:hAnsi="Arial" w:cs="Arial"/>
          <w:b/>
          <w:sz w:val="20"/>
          <w:szCs w:val="20"/>
        </w:rPr>
        <w:t>Tabela 1: Merila za izbiro nagrajenca</w:t>
      </w:r>
    </w:p>
    <w:tbl>
      <w:tblPr>
        <w:tblStyle w:val="Tabela-mrea"/>
        <w:tblW w:w="0" w:type="auto"/>
        <w:tblLook w:val="04A0"/>
      </w:tblPr>
      <w:tblGrid>
        <w:gridCol w:w="4606"/>
        <w:gridCol w:w="4606"/>
      </w:tblGrid>
      <w:tr w:rsidR="001841B3" w:rsidRPr="000D3706" w:rsidTr="001841B3">
        <w:tc>
          <w:tcPr>
            <w:tcW w:w="4606" w:type="dxa"/>
          </w:tcPr>
          <w:p w:rsidR="001841B3" w:rsidRPr="000D3706" w:rsidRDefault="001841B3" w:rsidP="000D3706">
            <w:pPr>
              <w:jc w:val="both"/>
              <w:rPr>
                <w:rFonts w:ascii="Arial" w:hAnsi="Arial" w:cs="Arial"/>
                <w:b/>
                <w:sz w:val="20"/>
                <w:szCs w:val="20"/>
              </w:rPr>
            </w:pPr>
            <w:r w:rsidRPr="000D3706">
              <w:rPr>
                <w:rFonts w:ascii="Arial" w:hAnsi="Arial" w:cs="Arial"/>
                <w:b/>
                <w:sz w:val="20"/>
                <w:szCs w:val="20"/>
              </w:rPr>
              <w:t>Merilo</w:t>
            </w:r>
          </w:p>
        </w:tc>
        <w:tc>
          <w:tcPr>
            <w:tcW w:w="4606" w:type="dxa"/>
          </w:tcPr>
          <w:p w:rsidR="001841B3" w:rsidRPr="000D3706" w:rsidRDefault="001841B3" w:rsidP="000D3706">
            <w:pPr>
              <w:jc w:val="both"/>
              <w:rPr>
                <w:rFonts w:ascii="Arial" w:hAnsi="Arial" w:cs="Arial"/>
                <w:b/>
                <w:sz w:val="20"/>
                <w:szCs w:val="20"/>
              </w:rPr>
            </w:pPr>
            <w:r w:rsidRPr="000D3706">
              <w:rPr>
                <w:rFonts w:ascii="Arial" w:hAnsi="Arial" w:cs="Arial"/>
                <w:b/>
                <w:sz w:val="20"/>
                <w:szCs w:val="20"/>
              </w:rPr>
              <w:t>Opis</w:t>
            </w:r>
          </w:p>
        </w:tc>
      </w:tr>
      <w:tr w:rsidR="001841B3" w:rsidRPr="000D3706" w:rsidTr="001841B3">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Cilji za varnost v cestnem prometu</w:t>
            </w:r>
          </w:p>
        </w:tc>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Kako prijavitelj v svojem načrtu povezuje varnost v cestnem prometu s cilji na področju zdravja</w:t>
            </w:r>
          </w:p>
        </w:tc>
      </w:tr>
      <w:tr w:rsidR="001841B3" w:rsidRPr="000D3706" w:rsidTr="001841B3">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Izboljšanje fizičnega in duševnega zdravja prebivalcev</w:t>
            </w:r>
          </w:p>
        </w:tc>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Mesto mora imeti realistično strategijo za izboljšanje fizičnega in duševnega zdravja prebivalcev</w:t>
            </w:r>
          </w:p>
        </w:tc>
      </w:tr>
      <w:tr w:rsidR="001841B3" w:rsidRPr="000D3706" w:rsidTr="001841B3">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Vključujoči zdravstveni sektor ali drugi sektorji</w:t>
            </w:r>
          </w:p>
        </w:tc>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 xml:space="preserve">Mesto mora vključiti zdravstveni sektor ali druge sektorje v izvedbo splošne </w:t>
            </w:r>
            <w:proofErr w:type="spellStart"/>
            <w:r w:rsidRPr="000D3706">
              <w:rPr>
                <w:rFonts w:ascii="Arial" w:hAnsi="Arial" w:cs="Arial"/>
                <w:sz w:val="20"/>
                <w:szCs w:val="20"/>
              </w:rPr>
              <w:t>strategfije</w:t>
            </w:r>
            <w:proofErr w:type="spellEnd"/>
            <w:r w:rsidRPr="000D3706">
              <w:rPr>
                <w:rFonts w:ascii="Arial" w:hAnsi="Arial" w:cs="Arial"/>
                <w:sz w:val="20"/>
                <w:szCs w:val="20"/>
              </w:rPr>
              <w:t xml:space="preserve"> za izboljšanje javnega zdravja in zdravstvene oskrbe</w:t>
            </w:r>
          </w:p>
        </w:tc>
      </w:tr>
      <w:tr w:rsidR="001841B3" w:rsidRPr="000D3706" w:rsidTr="001841B3">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Izboljšanje javnega prometa</w:t>
            </w:r>
          </w:p>
        </w:tc>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S povečanjem zaupanja v storitev mora mesto izboljšati javni promet</w:t>
            </w:r>
          </w:p>
        </w:tc>
      </w:tr>
      <w:tr w:rsidR="001841B3" w:rsidRPr="000D3706" w:rsidTr="001841B3">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Nove storitve na področju mobilnosti</w:t>
            </w:r>
          </w:p>
        </w:tc>
        <w:tc>
          <w:tcPr>
            <w:tcW w:w="4606" w:type="dxa"/>
          </w:tcPr>
          <w:p w:rsidR="001841B3" w:rsidRPr="000D3706" w:rsidRDefault="001841B3" w:rsidP="000D3706">
            <w:pPr>
              <w:jc w:val="both"/>
              <w:rPr>
                <w:rFonts w:ascii="Arial" w:hAnsi="Arial" w:cs="Arial"/>
                <w:sz w:val="20"/>
                <w:szCs w:val="20"/>
              </w:rPr>
            </w:pPr>
            <w:r w:rsidRPr="000D3706">
              <w:rPr>
                <w:rFonts w:ascii="Arial" w:hAnsi="Arial" w:cs="Arial"/>
                <w:sz w:val="20"/>
                <w:szCs w:val="20"/>
              </w:rPr>
              <w:t>Mesto mora imeti dobre prakse za povezavo novih storitev na področju mobilnosti s splošnimi cilji načrta</w:t>
            </w:r>
            <w:r w:rsidR="007E1B8C" w:rsidRPr="000D3706">
              <w:rPr>
                <w:rFonts w:ascii="Arial" w:hAnsi="Arial" w:cs="Arial"/>
                <w:sz w:val="20"/>
                <w:szCs w:val="20"/>
              </w:rPr>
              <w:t xml:space="preserve"> za trajnostno urbano mobilnost</w:t>
            </w:r>
          </w:p>
        </w:tc>
      </w:tr>
    </w:tbl>
    <w:p w:rsidR="001841B3" w:rsidRPr="000D3706" w:rsidRDefault="007E1B8C" w:rsidP="000D3706">
      <w:pPr>
        <w:jc w:val="both"/>
        <w:rPr>
          <w:rFonts w:ascii="Arial" w:hAnsi="Arial" w:cs="Arial"/>
          <w:sz w:val="20"/>
          <w:szCs w:val="20"/>
        </w:rPr>
      </w:pPr>
      <w:r w:rsidRPr="000D3706">
        <w:rPr>
          <w:rFonts w:ascii="Arial" w:hAnsi="Arial" w:cs="Arial"/>
          <w:sz w:val="20"/>
          <w:szCs w:val="20"/>
        </w:rPr>
        <w:t>Vir: Evropska komisija</w:t>
      </w:r>
    </w:p>
    <w:p w:rsidR="007E1B8C" w:rsidRPr="000D3706" w:rsidRDefault="007E1B8C" w:rsidP="000D3706">
      <w:pPr>
        <w:jc w:val="both"/>
        <w:rPr>
          <w:rFonts w:ascii="Arial" w:hAnsi="Arial" w:cs="Arial"/>
          <w:b/>
          <w:sz w:val="20"/>
          <w:szCs w:val="20"/>
        </w:rPr>
      </w:pPr>
      <w:r w:rsidRPr="000D3706">
        <w:rPr>
          <w:rFonts w:ascii="Arial" w:hAnsi="Arial" w:cs="Arial"/>
          <w:b/>
          <w:sz w:val="20"/>
          <w:szCs w:val="20"/>
        </w:rPr>
        <w:t>Koristne informacije:</w:t>
      </w:r>
    </w:p>
    <w:p w:rsidR="007E1B8C" w:rsidRPr="000D3706" w:rsidRDefault="000D3706" w:rsidP="000D3706">
      <w:pPr>
        <w:pStyle w:val="Odstavekseznama"/>
        <w:numPr>
          <w:ilvl w:val="0"/>
          <w:numId w:val="1"/>
        </w:numPr>
        <w:jc w:val="both"/>
        <w:rPr>
          <w:rFonts w:ascii="Arial" w:hAnsi="Arial" w:cs="Arial"/>
          <w:sz w:val="20"/>
          <w:szCs w:val="20"/>
        </w:rPr>
      </w:pPr>
      <w:r w:rsidRPr="000D3706">
        <w:rPr>
          <w:rFonts w:ascii="Arial" w:hAnsi="Arial" w:cs="Arial"/>
          <w:sz w:val="20"/>
          <w:szCs w:val="20"/>
        </w:rPr>
        <w:t>Razpis:</w:t>
      </w:r>
    </w:p>
    <w:p w:rsidR="000D3706" w:rsidRPr="000D3706" w:rsidRDefault="000D3706" w:rsidP="000D3706">
      <w:pPr>
        <w:pStyle w:val="Odstavekseznama"/>
        <w:numPr>
          <w:ilvl w:val="0"/>
          <w:numId w:val="1"/>
        </w:numPr>
        <w:jc w:val="both"/>
        <w:rPr>
          <w:rFonts w:ascii="Arial" w:hAnsi="Arial" w:cs="Arial"/>
          <w:sz w:val="20"/>
          <w:szCs w:val="20"/>
        </w:rPr>
      </w:pPr>
      <w:hyperlink r:id="rId6" w:history="1">
        <w:r w:rsidRPr="000D3706">
          <w:rPr>
            <w:rStyle w:val="Hiperpovezava"/>
            <w:rFonts w:ascii="Arial" w:hAnsi="Arial" w:cs="Arial"/>
            <w:sz w:val="20"/>
            <w:szCs w:val="20"/>
          </w:rPr>
          <w:t>https://mobilityweek.eu/fileadmin/user_upload/awards/SUMP_Award/2021/2021_06_XX_10th_SUMP_Award_Call_for_Applications_FINAL.pdf</w:t>
        </w:r>
      </w:hyperlink>
    </w:p>
    <w:p w:rsidR="000D3706" w:rsidRPr="000D3706" w:rsidRDefault="000D3706" w:rsidP="000D3706">
      <w:pPr>
        <w:pStyle w:val="Odstavekseznama"/>
        <w:numPr>
          <w:ilvl w:val="0"/>
          <w:numId w:val="1"/>
        </w:numPr>
        <w:jc w:val="both"/>
        <w:rPr>
          <w:rFonts w:ascii="Arial" w:hAnsi="Arial" w:cs="Arial"/>
          <w:sz w:val="20"/>
          <w:szCs w:val="20"/>
        </w:rPr>
      </w:pPr>
      <w:r w:rsidRPr="000D3706">
        <w:rPr>
          <w:rFonts w:ascii="Arial" w:hAnsi="Arial" w:cs="Arial"/>
          <w:sz w:val="20"/>
          <w:szCs w:val="20"/>
        </w:rPr>
        <w:lastRenderedPageBreak/>
        <w:t>Spletna stran evropskega tedna mobilnosti s povezavami na pretekle dobitnike nagrade SUMP:</w:t>
      </w:r>
    </w:p>
    <w:p w:rsidR="000D3706" w:rsidRPr="000D3706" w:rsidRDefault="000D3706" w:rsidP="000D3706">
      <w:pPr>
        <w:pStyle w:val="Odstavekseznama"/>
        <w:numPr>
          <w:ilvl w:val="0"/>
          <w:numId w:val="1"/>
        </w:numPr>
        <w:jc w:val="both"/>
        <w:rPr>
          <w:rFonts w:ascii="Arial" w:hAnsi="Arial" w:cs="Arial"/>
          <w:sz w:val="20"/>
          <w:szCs w:val="20"/>
        </w:rPr>
      </w:pPr>
      <w:hyperlink r:id="rId7" w:history="1">
        <w:r w:rsidRPr="000D3706">
          <w:rPr>
            <w:rStyle w:val="Hiperpovezava"/>
            <w:rFonts w:ascii="Arial" w:hAnsi="Arial" w:cs="Arial"/>
            <w:sz w:val="20"/>
            <w:szCs w:val="20"/>
          </w:rPr>
          <w:t>https://mobilityweek.eu/sump-award</w:t>
        </w:r>
      </w:hyperlink>
    </w:p>
    <w:p w:rsidR="000D3706" w:rsidRPr="000D3706" w:rsidRDefault="000D3706" w:rsidP="000D3706">
      <w:pPr>
        <w:spacing w:after="0"/>
        <w:jc w:val="both"/>
        <w:rPr>
          <w:rFonts w:ascii="Arial" w:hAnsi="Arial" w:cs="Arial"/>
          <w:sz w:val="20"/>
          <w:szCs w:val="20"/>
        </w:rPr>
      </w:pPr>
      <w:r w:rsidRPr="000D3706">
        <w:rPr>
          <w:rFonts w:ascii="Arial" w:hAnsi="Arial" w:cs="Arial"/>
          <w:sz w:val="20"/>
          <w:szCs w:val="20"/>
        </w:rPr>
        <w:t>Pripravila:</w:t>
      </w:r>
    </w:p>
    <w:p w:rsidR="000D3706" w:rsidRPr="000D3706" w:rsidRDefault="000D3706" w:rsidP="000D3706">
      <w:pPr>
        <w:spacing w:after="0"/>
        <w:jc w:val="both"/>
        <w:rPr>
          <w:rFonts w:ascii="Arial" w:hAnsi="Arial" w:cs="Arial"/>
          <w:sz w:val="20"/>
          <w:szCs w:val="20"/>
        </w:rPr>
      </w:pPr>
      <w:r w:rsidRPr="000D3706">
        <w:rPr>
          <w:rFonts w:ascii="Arial" w:hAnsi="Arial" w:cs="Arial"/>
          <w:sz w:val="20"/>
          <w:szCs w:val="20"/>
        </w:rPr>
        <w:t>Darja Kocbek</w:t>
      </w:r>
    </w:p>
    <w:sectPr w:rsidR="000D3706" w:rsidRPr="000D3706" w:rsidSect="001200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451"/>
    <w:multiLevelType w:val="hybridMultilevel"/>
    <w:tmpl w:val="411EA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6458"/>
    <w:rsid w:val="000D3706"/>
    <w:rsid w:val="0012001B"/>
    <w:rsid w:val="001841B3"/>
    <w:rsid w:val="007E1B8C"/>
    <w:rsid w:val="008D6458"/>
    <w:rsid w:val="00AD0889"/>
    <w:rsid w:val="00D545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2001B"/>
  </w:style>
  <w:style w:type="paragraph" w:styleId="Naslov2">
    <w:name w:val="heading 2"/>
    <w:basedOn w:val="Navaden"/>
    <w:link w:val="Naslov2Znak"/>
    <w:uiPriority w:val="9"/>
    <w:qFormat/>
    <w:rsid w:val="00AD088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semiHidden/>
    <w:unhideWhenUsed/>
    <w:rsid w:val="00D5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D54512"/>
    <w:rPr>
      <w:rFonts w:ascii="Courier New" w:eastAsia="Times New Roman" w:hAnsi="Courier New" w:cs="Courier New"/>
      <w:sz w:val="20"/>
      <w:szCs w:val="20"/>
      <w:lang w:eastAsia="sl-SI"/>
    </w:rPr>
  </w:style>
  <w:style w:type="character" w:customStyle="1" w:styleId="y2iqfc">
    <w:name w:val="y2iqfc"/>
    <w:basedOn w:val="Privzetapisavaodstavka"/>
    <w:rsid w:val="00D54512"/>
  </w:style>
  <w:style w:type="table" w:styleId="Tabela-mrea">
    <w:name w:val="Table Grid"/>
    <w:basedOn w:val="Navadnatabela"/>
    <w:uiPriority w:val="59"/>
    <w:rsid w:val="001841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0D3706"/>
    <w:rPr>
      <w:color w:val="0000FF" w:themeColor="hyperlink"/>
      <w:u w:val="single"/>
    </w:rPr>
  </w:style>
  <w:style w:type="paragraph" w:styleId="Odstavekseznama">
    <w:name w:val="List Paragraph"/>
    <w:basedOn w:val="Navaden"/>
    <w:uiPriority w:val="34"/>
    <w:qFormat/>
    <w:rsid w:val="000D3706"/>
    <w:pPr>
      <w:ind w:left="720"/>
      <w:contextualSpacing/>
    </w:pPr>
  </w:style>
  <w:style w:type="character" w:customStyle="1" w:styleId="Naslov2Znak">
    <w:name w:val="Naslov 2 Znak"/>
    <w:basedOn w:val="Privzetapisavaodstavka"/>
    <w:link w:val="Naslov2"/>
    <w:uiPriority w:val="9"/>
    <w:rsid w:val="00AD088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D08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0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7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bilityweek.eu/sump-aw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lityweek.eu/fileadmin/user_upload/awards/SUMP_Award/2021/2021_06_XX_10th_SUMP_Award_Call_for_Applications_FINA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330</Words>
  <Characters>1940</Characters>
  <Application>Microsoft Office Word</Application>
  <DocSecurity>0</DocSecurity>
  <Lines>23</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2021-06-17T12:57:00Z</dcterms:created>
  <dcterms:modified xsi:type="dcterms:W3CDTF">2021-06-17T13:23:00Z</dcterms:modified>
</cp:coreProperties>
</file>