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B6" w:rsidRPr="00467345" w:rsidRDefault="009E39B6" w:rsidP="009E39B6">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E39B6" w:rsidRPr="00301C78" w:rsidRDefault="009E39B6" w:rsidP="009E39B6">
      <w:pPr>
        <w:pStyle w:val="Naslov2"/>
        <w:tabs>
          <w:tab w:val="left" w:pos="3120"/>
        </w:tabs>
        <w:spacing w:before="0"/>
        <w:jc w:val="center"/>
        <w:rPr>
          <w:sz w:val="22"/>
        </w:rPr>
      </w:pPr>
      <w:r w:rsidRPr="00083714">
        <w:rPr>
          <w:sz w:val="22"/>
        </w:rPr>
        <w:t>Slovensko gospodarsko in raziskovalno združenje, Bruselj</w:t>
      </w:r>
    </w:p>
    <w:p w:rsidR="009E39B6" w:rsidRPr="00083714" w:rsidRDefault="009E39B6" w:rsidP="009E39B6">
      <w:pPr>
        <w:pBdr>
          <w:bottom w:val="single" w:sz="6" w:space="1" w:color="auto"/>
        </w:pBdr>
        <w:tabs>
          <w:tab w:val="left" w:pos="3120"/>
        </w:tabs>
        <w:spacing w:before="240"/>
        <w:rPr>
          <w:sz w:val="16"/>
          <w:szCs w:val="16"/>
        </w:rPr>
      </w:pPr>
    </w:p>
    <w:p w:rsidR="009E39B6" w:rsidRDefault="009E39B6" w:rsidP="009E39B6">
      <w:pPr>
        <w:tabs>
          <w:tab w:val="left" w:pos="3120"/>
        </w:tabs>
        <w:spacing w:before="240"/>
        <w:jc w:val="center"/>
        <w:rPr>
          <w:b/>
        </w:rPr>
      </w:pPr>
      <w:r>
        <w:rPr>
          <w:b/>
        </w:rPr>
        <w:t xml:space="preserve">Občasna informacija članom 104 </w:t>
      </w:r>
      <w:r w:rsidRPr="00083714">
        <w:rPr>
          <w:b/>
        </w:rPr>
        <w:t>– 20</w:t>
      </w:r>
      <w:r>
        <w:rPr>
          <w:b/>
        </w:rPr>
        <w:t>23</w:t>
      </w:r>
    </w:p>
    <w:p w:rsidR="009E39B6" w:rsidRDefault="009E39B6" w:rsidP="009E39B6">
      <w:pPr>
        <w:tabs>
          <w:tab w:val="left" w:pos="3120"/>
        </w:tabs>
        <w:spacing w:before="240"/>
        <w:jc w:val="center"/>
        <w:rPr>
          <w:b/>
        </w:rPr>
      </w:pPr>
      <w:r>
        <w:rPr>
          <w:b/>
        </w:rPr>
        <w:t xml:space="preserve">26. junij </w:t>
      </w:r>
      <w:r w:rsidRPr="00083714">
        <w:rPr>
          <w:b/>
        </w:rPr>
        <w:t xml:space="preserve"> 20</w:t>
      </w:r>
      <w:r>
        <w:rPr>
          <w:b/>
        </w:rPr>
        <w:t>23</w:t>
      </w:r>
    </w:p>
    <w:p w:rsidR="00753128" w:rsidRDefault="009E39B6" w:rsidP="009E39B6">
      <w:pPr>
        <w:jc w:val="center"/>
        <w:rPr>
          <w:rFonts w:ascii="Arial" w:hAnsi="Arial" w:cs="Arial"/>
          <w:b/>
          <w:i/>
        </w:rPr>
      </w:pPr>
      <w:r>
        <w:rPr>
          <w:b/>
          <w:color w:val="993300"/>
          <w:sz w:val="32"/>
          <w:szCs w:val="32"/>
        </w:rPr>
        <w:t>Objavljena sta akta, ki določata pravila o opredelitvi obnovljivega vodika v EU</w:t>
      </w:r>
    </w:p>
    <w:p w:rsidR="00A86540" w:rsidRPr="00753128" w:rsidRDefault="0026695B" w:rsidP="00753128">
      <w:pPr>
        <w:jc w:val="both"/>
        <w:rPr>
          <w:rFonts w:ascii="Arial" w:hAnsi="Arial" w:cs="Arial"/>
          <w:b/>
          <w:i/>
        </w:rPr>
      </w:pPr>
      <w:r w:rsidRPr="00753128">
        <w:rPr>
          <w:rFonts w:ascii="Arial" w:hAnsi="Arial" w:cs="Arial"/>
          <w:b/>
          <w:i/>
        </w:rPr>
        <w:t xml:space="preserve">Evropska komisija je objavila dva delegirana akta, ki določata pravila o opredelitvi obnovljivega vodika v EU. V prvem aktu je opredeljeno, pod katerimi pogoji se lahko vodik, goriva na osnovi vodika ali drugi nosilci energije štejejo za obnovljiva goriva nebiološkega izvora (RFNBO). Drugi akt določa metodologijo za izračun emisij toplogrednih plinov v življenjskem ciklusu RFNBO. </w:t>
      </w:r>
      <w:r w:rsidR="00B6735B" w:rsidRPr="00753128">
        <w:rPr>
          <w:rFonts w:ascii="Arial" w:hAnsi="Arial" w:cs="Arial"/>
          <w:b/>
          <w:i/>
        </w:rPr>
        <w:t xml:space="preserve"> Akta  sta del širšega </w:t>
      </w:r>
      <w:proofErr w:type="spellStart"/>
      <w:r w:rsidR="00B6735B" w:rsidRPr="00753128">
        <w:rPr>
          <w:rFonts w:ascii="Arial" w:hAnsi="Arial" w:cs="Arial"/>
          <w:b/>
          <w:i/>
        </w:rPr>
        <w:t>regulativnega</w:t>
      </w:r>
      <w:proofErr w:type="spellEnd"/>
      <w:r w:rsidR="00B6735B" w:rsidRPr="00753128">
        <w:rPr>
          <w:rFonts w:ascii="Arial" w:hAnsi="Arial" w:cs="Arial"/>
          <w:b/>
          <w:i/>
        </w:rPr>
        <w:t xml:space="preserve"> okvira EU za vodik.</w:t>
      </w:r>
    </w:p>
    <w:p w:rsidR="00B6735B" w:rsidRPr="00753128" w:rsidRDefault="00E43E9A" w:rsidP="00753128">
      <w:pPr>
        <w:jc w:val="both"/>
        <w:rPr>
          <w:rFonts w:ascii="Arial" w:hAnsi="Arial" w:cs="Arial"/>
          <w:sz w:val="20"/>
          <w:szCs w:val="20"/>
        </w:rPr>
      </w:pPr>
      <w:r w:rsidRPr="00753128">
        <w:rPr>
          <w:rFonts w:ascii="Arial" w:hAnsi="Arial" w:cs="Arial"/>
          <w:sz w:val="20"/>
          <w:szCs w:val="20"/>
        </w:rPr>
        <w:t>V prvem aktu Evropska komisija pojasnjuje tudi načelo »</w:t>
      </w:r>
      <w:proofErr w:type="spellStart"/>
      <w:r w:rsidRPr="00753128">
        <w:rPr>
          <w:rFonts w:ascii="Arial" w:hAnsi="Arial" w:cs="Arial"/>
          <w:sz w:val="20"/>
          <w:szCs w:val="20"/>
        </w:rPr>
        <w:t>dodatnosti</w:t>
      </w:r>
      <w:proofErr w:type="spellEnd"/>
      <w:r w:rsidRPr="00753128">
        <w:rPr>
          <w:rFonts w:ascii="Arial" w:hAnsi="Arial" w:cs="Arial"/>
          <w:sz w:val="20"/>
          <w:szCs w:val="20"/>
        </w:rPr>
        <w:t>« za vodik, ki je določeno v direktivi EU o obnovljivih virih energije. Akt prav tako določa merila, na podlagi katerih bo dovoljeno vodik iz obnovljivih virov proizvajati samo takrat in tam, kjer je potreben. V aktu je v skladu s to zahtevo opisano, kako lahko proizvajalci dokažejo skladnost s pravili.</w:t>
      </w:r>
    </w:p>
    <w:p w:rsidR="00E43E9A" w:rsidRPr="00753128" w:rsidRDefault="00E43E9A" w:rsidP="00753128">
      <w:pPr>
        <w:jc w:val="both"/>
        <w:rPr>
          <w:rFonts w:ascii="Arial" w:hAnsi="Arial" w:cs="Arial"/>
          <w:sz w:val="20"/>
          <w:szCs w:val="20"/>
        </w:rPr>
      </w:pPr>
      <w:r w:rsidRPr="00753128">
        <w:rPr>
          <w:rFonts w:ascii="Arial" w:hAnsi="Arial" w:cs="Arial"/>
          <w:sz w:val="20"/>
          <w:szCs w:val="20"/>
        </w:rPr>
        <w:t xml:space="preserve">Drugi akt upošteva emisije, povezane s pridobivanjem električne energije iz omrežja, s predelavo in s prevozom teh goriv do končnega potrošnika. </w:t>
      </w:r>
    </w:p>
    <w:p w:rsidR="00E43E9A" w:rsidRPr="00753128" w:rsidRDefault="00E43E9A" w:rsidP="00753128">
      <w:pPr>
        <w:jc w:val="both"/>
        <w:rPr>
          <w:rFonts w:ascii="Arial" w:hAnsi="Arial" w:cs="Arial"/>
          <w:sz w:val="20"/>
          <w:szCs w:val="20"/>
        </w:rPr>
      </w:pPr>
      <w:r w:rsidRPr="00753128">
        <w:rPr>
          <w:rFonts w:ascii="Arial" w:hAnsi="Arial" w:cs="Arial"/>
          <w:sz w:val="20"/>
          <w:szCs w:val="20"/>
        </w:rPr>
        <w:t>Nova pravila bodo veljala za domače in mednarodne proizvajalce, ki izvažajo obnovljivi vodik v EU.</w:t>
      </w:r>
    </w:p>
    <w:p w:rsidR="00E43E9A" w:rsidRPr="00753128" w:rsidRDefault="00E43E9A" w:rsidP="00753128">
      <w:pPr>
        <w:jc w:val="both"/>
        <w:rPr>
          <w:rFonts w:ascii="Arial" w:hAnsi="Arial" w:cs="Arial"/>
          <w:b/>
          <w:sz w:val="20"/>
          <w:szCs w:val="20"/>
        </w:rPr>
      </w:pPr>
      <w:r w:rsidRPr="00753128">
        <w:rPr>
          <w:rFonts w:ascii="Arial" w:hAnsi="Arial" w:cs="Arial"/>
          <w:b/>
          <w:sz w:val="20"/>
          <w:szCs w:val="20"/>
        </w:rPr>
        <w:t>Koristne informacije:</w:t>
      </w:r>
    </w:p>
    <w:p w:rsidR="00E43E9A" w:rsidRPr="00753128" w:rsidRDefault="00E43E9A" w:rsidP="00753128">
      <w:pPr>
        <w:pStyle w:val="Odstavekseznama"/>
        <w:numPr>
          <w:ilvl w:val="0"/>
          <w:numId w:val="1"/>
        </w:numPr>
        <w:jc w:val="both"/>
        <w:rPr>
          <w:rFonts w:ascii="Arial" w:hAnsi="Arial" w:cs="Arial"/>
          <w:sz w:val="20"/>
          <w:szCs w:val="20"/>
        </w:rPr>
      </w:pPr>
      <w:r w:rsidRPr="00753128">
        <w:rPr>
          <w:rFonts w:ascii="Arial" w:hAnsi="Arial" w:cs="Arial"/>
          <w:sz w:val="20"/>
          <w:szCs w:val="20"/>
        </w:rPr>
        <w:t>Prvi akt:</w:t>
      </w:r>
    </w:p>
    <w:p w:rsidR="00E43E9A" w:rsidRPr="00753128" w:rsidRDefault="00E43E9A" w:rsidP="00753128">
      <w:pPr>
        <w:pStyle w:val="Odstavekseznama"/>
        <w:numPr>
          <w:ilvl w:val="0"/>
          <w:numId w:val="1"/>
        </w:numPr>
        <w:jc w:val="both"/>
        <w:rPr>
          <w:rFonts w:ascii="Arial" w:hAnsi="Arial" w:cs="Arial"/>
          <w:sz w:val="20"/>
          <w:szCs w:val="20"/>
        </w:rPr>
      </w:pPr>
      <w:hyperlink r:id="rId6" w:history="1">
        <w:r w:rsidRPr="00753128">
          <w:rPr>
            <w:rStyle w:val="Hiperpovezava"/>
            <w:rFonts w:ascii="Arial" w:hAnsi="Arial" w:cs="Arial"/>
            <w:sz w:val="20"/>
            <w:szCs w:val="20"/>
          </w:rPr>
          <w:t>https://eur-lex.europa.eu/legal-content/SL/TXT/HTML/?uri=CELEX:32023R1185</w:t>
        </w:r>
      </w:hyperlink>
    </w:p>
    <w:p w:rsidR="00E43E9A" w:rsidRPr="00753128" w:rsidRDefault="00E43E9A" w:rsidP="00753128">
      <w:pPr>
        <w:pStyle w:val="Odstavekseznama"/>
        <w:numPr>
          <w:ilvl w:val="0"/>
          <w:numId w:val="1"/>
        </w:numPr>
        <w:jc w:val="both"/>
        <w:rPr>
          <w:rFonts w:ascii="Arial" w:hAnsi="Arial" w:cs="Arial"/>
          <w:sz w:val="20"/>
          <w:szCs w:val="20"/>
        </w:rPr>
      </w:pPr>
      <w:r w:rsidRPr="00753128">
        <w:rPr>
          <w:rFonts w:ascii="Arial" w:hAnsi="Arial" w:cs="Arial"/>
          <w:sz w:val="20"/>
          <w:szCs w:val="20"/>
        </w:rPr>
        <w:t>Drugi akt:</w:t>
      </w:r>
    </w:p>
    <w:p w:rsidR="00E43E9A" w:rsidRPr="00753128" w:rsidRDefault="00E43E9A" w:rsidP="00753128">
      <w:pPr>
        <w:pStyle w:val="Odstavekseznama"/>
        <w:numPr>
          <w:ilvl w:val="0"/>
          <w:numId w:val="1"/>
        </w:numPr>
        <w:jc w:val="both"/>
        <w:rPr>
          <w:rFonts w:ascii="Arial" w:hAnsi="Arial" w:cs="Arial"/>
          <w:sz w:val="20"/>
          <w:szCs w:val="20"/>
        </w:rPr>
      </w:pPr>
      <w:hyperlink r:id="rId7" w:history="1">
        <w:r w:rsidRPr="00753128">
          <w:rPr>
            <w:rStyle w:val="Hiperpovezava"/>
            <w:rFonts w:ascii="Arial" w:hAnsi="Arial" w:cs="Arial"/>
            <w:sz w:val="20"/>
            <w:szCs w:val="20"/>
          </w:rPr>
          <w:t>https://eur-lex.europa.eu/legal-content/SL/TXT/HTML/?uri=CELEX:32023R1184</w:t>
        </w:r>
      </w:hyperlink>
    </w:p>
    <w:p w:rsidR="00E43E9A" w:rsidRPr="00753128" w:rsidRDefault="00E43E9A" w:rsidP="00753128">
      <w:pPr>
        <w:pStyle w:val="Odstavekseznama"/>
        <w:numPr>
          <w:ilvl w:val="0"/>
          <w:numId w:val="1"/>
        </w:numPr>
        <w:jc w:val="both"/>
        <w:rPr>
          <w:rFonts w:ascii="Arial" w:hAnsi="Arial" w:cs="Arial"/>
          <w:sz w:val="20"/>
          <w:szCs w:val="20"/>
        </w:rPr>
      </w:pPr>
      <w:r w:rsidRPr="00753128">
        <w:rPr>
          <w:rFonts w:ascii="Arial" w:hAnsi="Arial" w:cs="Arial"/>
          <w:sz w:val="20"/>
          <w:szCs w:val="20"/>
        </w:rPr>
        <w:t>Spletna stran z informacijami o vodiku:</w:t>
      </w:r>
    </w:p>
    <w:p w:rsidR="00E43E9A" w:rsidRPr="00753128" w:rsidRDefault="00E43E9A" w:rsidP="00753128">
      <w:pPr>
        <w:pStyle w:val="Odstavekseznama"/>
        <w:numPr>
          <w:ilvl w:val="0"/>
          <w:numId w:val="1"/>
        </w:numPr>
        <w:jc w:val="both"/>
        <w:rPr>
          <w:rFonts w:ascii="Arial" w:hAnsi="Arial" w:cs="Arial"/>
          <w:sz w:val="20"/>
          <w:szCs w:val="20"/>
        </w:rPr>
      </w:pPr>
      <w:hyperlink r:id="rId8" w:history="1">
        <w:r w:rsidRPr="00753128">
          <w:rPr>
            <w:rStyle w:val="Hiperpovezava"/>
            <w:rFonts w:ascii="Arial" w:hAnsi="Arial" w:cs="Arial"/>
            <w:sz w:val="20"/>
            <w:szCs w:val="20"/>
          </w:rPr>
          <w:t>https://energy.ec.europa.eu/topics/energy-systems-integration/hydrogen_sl</w:t>
        </w:r>
      </w:hyperlink>
    </w:p>
    <w:p w:rsidR="00E43E9A" w:rsidRPr="00753128" w:rsidRDefault="00753128" w:rsidP="00753128">
      <w:pPr>
        <w:spacing w:after="0"/>
        <w:jc w:val="both"/>
        <w:rPr>
          <w:rFonts w:ascii="Arial" w:hAnsi="Arial" w:cs="Arial"/>
          <w:sz w:val="20"/>
          <w:szCs w:val="20"/>
        </w:rPr>
      </w:pPr>
      <w:r w:rsidRPr="00753128">
        <w:rPr>
          <w:rFonts w:ascii="Arial" w:hAnsi="Arial" w:cs="Arial"/>
          <w:sz w:val="20"/>
          <w:szCs w:val="20"/>
        </w:rPr>
        <w:t>Pripravila:</w:t>
      </w:r>
    </w:p>
    <w:p w:rsidR="00753128" w:rsidRPr="00753128" w:rsidRDefault="00753128" w:rsidP="00753128">
      <w:pPr>
        <w:spacing w:after="0"/>
        <w:jc w:val="both"/>
        <w:rPr>
          <w:rFonts w:ascii="Arial" w:hAnsi="Arial" w:cs="Arial"/>
          <w:sz w:val="20"/>
          <w:szCs w:val="20"/>
        </w:rPr>
      </w:pPr>
      <w:r w:rsidRPr="00753128">
        <w:rPr>
          <w:rFonts w:ascii="Arial" w:hAnsi="Arial" w:cs="Arial"/>
          <w:sz w:val="20"/>
          <w:szCs w:val="20"/>
        </w:rPr>
        <w:t>Darja Kocbek</w:t>
      </w:r>
    </w:p>
    <w:sectPr w:rsidR="00753128" w:rsidRPr="00753128" w:rsidSect="00A865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30443"/>
    <w:multiLevelType w:val="hybridMultilevel"/>
    <w:tmpl w:val="665430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695B"/>
    <w:rsid w:val="0026695B"/>
    <w:rsid w:val="00732751"/>
    <w:rsid w:val="00753128"/>
    <w:rsid w:val="009E39B6"/>
    <w:rsid w:val="00A86540"/>
    <w:rsid w:val="00B6735B"/>
    <w:rsid w:val="00B86A07"/>
    <w:rsid w:val="00E43E9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86540"/>
  </w:style>
  <w:style w:type="paragraph" w:styleId="Naslov2">
    <w:name w:val="heading 2"/>
    <w:basedOn w:val="Navaden"/>
    <w:link w:val="Naslov2Znak"/>
    <w:uiPriority w:val="9"/>
    <w:qFormat/>
    <w:rsid w:val="009E39B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43E9A"/>
    <w:rPr>
      <w:color w:val="0000FF" w:themeColor="hyperlink"/>
      <w:u w:val="single"/>
    </w:rPr>
  </w:style>
  <w:style w:type="paragraph" w:styleId="Odstavekseznama">
    <w:name w:val="List Paragraph"/>
    <w:basedOn w:val="Navaden"/>
    <w:uiPriority w:val="34"/>
    <w:qFormat/>
    <w:rsid w:val="00753128"/>
    <w:pPr>
      <w:ind w:left="720"/>
      <w:contextualSpacing/>
    </w:pPr>
  </w:style>
  <w:style w:type="character" w:customStyle="1" w:styleId="Naslov2Znak">
    <w:name w:val="Naslov 2 Znak"/>
    <w:basedOn w:val="Privzetapisavaodstavka"/>
    <w:link w:val="Naslov2"/>
    <w:uiPriority w:val="9"/>
    <w:rsid w:val="009E39B6"/>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E39B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E39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ergy.ec.europa.eu/topics/energy-systems-integration/hydrogen_sl" TargetMode="External"/><Relationship Id="rId3" Type="http://schemas.openxmlformats.org/officeDocument/2006/relationships/settings" Target="settings.xml"/><Relationship Id="rId7" Type="http://schemas.openxmlformats.org/officeDocument/2006/relationships/hyperlink" Target="https://eur-lex.europa.eu/legal-content/SL/TXT/HTML/?uri=CELEX:32023R1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SL/TXT/HTML/?uri=CELEX:32023R1185"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275</Words>
  <Characters>1574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2023-06-22T09:24:00Z</dcterms:created>
  <dcterms:modified xsi:type="dcterms:W3CDTF">2023-06-22T11:29:00Z</dcterms:modified>
</cp:coreProperties>
</file>