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A65" w:rsidRPr="00467345" w:rsidRDefault="00E10A65" w:rsidP="00E10A65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A65" w:rsidRPr="00083714" w:rsidRDefault="00E10A65" w:rsidP="00E10A65">
      <w:pPr>
        <w:pStyle w:val="Naslov2"/>
        <w:tabs>
          <w:tab w:val="left" w:pos="3120"/>
        </w:tabs>
        <w:spacing w:before="0" w:beforeAutospacing="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10A65" w:rsidRPr="00083714" w:rsidRDefault="00E10A65" w:rsidP="00E10A65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E10A65" w:rsidRDefault="00E10A65" w:rsidP="00E10A65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:rsidR="00E10A65" w:rsidRDefault="00E10A65" w:rsidP="00E10A65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Občasna informacija članom 103 </w:t>
      </w:r>
      <w:r w:rsidRPr="00083714">
        <w:rPr>
          <w:b/>
        </w:rPr>
        <w:t>– 20</w:t>
      </w:r>
      <w:r>
        <w:rPr>
          <w:b/>
        </w:rPr>
        <w:t>21</w:t>
      </w:r>
    </w:p>
    <w:p w:rsidR="00E10A65" w:rsidRDefault="00E10A65" w:rsidP="00E10A65">
      <w:pPr>
        <w:tabs>
          <w:tab w:val="left" w:pos="3120"/>
        </w:tabs>
        <w:spacing w:after="0"/>
        <w:jc w:val="center"/>
        <w:rPr>
          <w:b/>
        </w:rPr>
      </w:pPr>
    </w:p>
    <w:p w:rsidR="00E10A65" w:rsidRDefault="00E10A65" w:rsidP="00E10A65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21. junij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E10A65" w:rsidRPr="00050C1F" w:rsidRDefault="00E10A65" w:rsidP="00E10A65">
      <w:pPr>
        <w:tabs>
          <w:tab w:val="left" w:pos="3120"/>
        </w:tabs>
        <w:spacing w:after="0"/>
        <w:jc w:val="center"/>
        <w:rPr>
          <w:b/>
        </w:rPr>
      </w:pPr>
    </w:p>
    <w:p w:rsidR="00E0788C" w:rsidRDefault="00E10A65" w:rsidP="00E10A65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Evropski svet za inovacije (EIC) je objavil razpise instrumenta </w:t>
      </w:r>
      <w:proofErr w:type="spellStart"/>
      <w:r>
        <w:rPr>
          <w:b/>
          <w:color w:val="993300"/>
          <w:sz w:val="32"/>
          <w:szCs w:val="32"/>
        </w:rPr>
        <w:t>Pathfinder</w:t>
      </w:r>
      <w:proofErr w:type="spellEnd"/>
      <w:r>
        <w:rPr>
          <w:b/>
          <w:color w:val="993300"/>
          <w:sz w:val="32"/>
          <w:szCs w:val="32"/>
        </w:rPr>
        <w:t xml:space="preserve"> (Iskalec)</w:t>
      </w:r>
    </w:p>
    <w:p w:rsidR="0081033B" w:rsidRPr="00EF01C1" w:rsidRDefault="00B80A66" w:rsidP="00EF01C1">
      <w:pPr>
        <w:jc w:val="both"/>
        <w:rPr>
          <w:rFonts w:ascii="Arial" w:hAnsi="Arial" w:cs="Arial"/>
          <w:b/>
          <w:i/>
        </w:rPr>
      </w:pPr>
      <w:r w:rsidRPr="00EF01C1">
        <w:rPr>
          <w:rFonts w:ascii="Arial" w:hAnsi="Arial" w:cs="Arial"/>
          <w:b/>
          <w:i/>
        </w:rPr>
        <w:t xml:space="preserve">Objavljeni so razpisi instrumenta Evropskega sveta za inovacije (EIC) </w:t>
      </w:r>
      <w:proofErr w:type="spellStart"/>
      <w:r w:rsidRPr="00EF01C1">
        <w:rPr>
          <w:rFonts w:ascii="Arial" w:hAnsi="Arial" w:cs="Arial"/>
          <w:b/>
          <w:i/>
        </w:rPr>
        <w:t>Pathfinder</w:t>
      </w:r>
      <w:proofErr w:type="spellEnd"/>
      <w:r w:rsidRPr="00EF01C1">
        <w:rPr>
          <w:rFonts w:ascii="Arial" w:hAnsi="Arial" w:cs="Arial"/>
          <w:b/>
          <w:i/>
        </w:rPr>
        <w:t xml:space="preserve">  (Iskalec), ki je namenjen financiranju zgodnjih stopenj razvoja novih »prebojnih« tehnologij in rešitev s potencialom postavljanja novih standardov in oblikovanja novih trgov. Razpisanih je 132 milijonov evrov. Rok za oddajo prijav se izteče 27. oktobra. </w:t>
      </w:r>
      <w:r w:rsidR="0081033B" w:rsidRPr="00EF01C1">
        <w:rPr>
          <w:rFonts w:ascii="Arial" w:hAnsi="Arial" w:cs="Arial"/>
          <w:b/>
          <w:i/>
        </w:rPr>
        <w:t xml:space="preserve">Evropska komisija pričakuje prijave projektov, katerih partnerji bodo skupaj preučevali različne perspektive, konkurenčne pristope ali dopolnilne vidike </w:t>
      </w:r>
      <w:r w:rsidR="008119D3" w:rsidRPr="00EF01C1">
        <w:rPr>
          <w:rFonts w:ascii="Arial" w:hAnsi="Arial" w:cs="Arial"/>
          <w:b/>
          <w:i/>
        </w:rPr>
        <w:t>izziva</w:t>
      </w:r>
      <w:r w:rsidR="0081033B" w:rsidRPr="00EF01C1">
        <w:rPr>
          <w:rFonts w:ascii="Arial" w:hAnsi="Arial" w:cs="Arial"/>
          <w:b/>
          <w:i/>
        </w:rPr>
        <w:t>.</w:t>
      </w:r>
      <w:r w:rsidR="008119D3" w:rsidRPr="00EF01C1">
        <w:rPr>
          <w:rFonts w:ascii="Arial" w:hAnsi="Arial" w:cs="Arial"/>
          <w:b/>
          <w:i/>
        </w:rPr>
        <w:t xml:space="preserve"> Razpisanih je pet izzivov. Člani lahko dobijo več informacij na SBRA.</w:t>
      </w:r>
    </w:p>
    <w:p w:rsidR="00B52DB3" w:rsidRPr="00EF01C1" w:rsidRDefault="00B52DB3" w:rsidP="00EF01C1">
      <w:pPr>
        <w:jc w:val="both"/>
        <w:rPr>
          <w:rFonts w:ascii="Arial" w:hAnsi="Arial" w:cs="Arial"/>
          <w:b/>
          <w:sz w:val="20"/>
          <w:szCs w:val="20"/>
        </w:rPr>
      </w:pPr>
      <w:r w:rsidRPr="00EF01C1">
        <w:rPr>
          <w:rFonts w:ascii="Arial" w:hAnsi="Arial" w:cs="Arial"/>
          <w:b/>
          <w:sz w:val="20"/>
          <w:szCs w:val="20"/>
        </w:rPr>
        <w:t>Tabela 1: Razpisani izzivi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B52DB3" w:rsidRPr="00F5617C" w:rsidTr="00B52DB3">
        <w:tc>
          <w:tcPr>
            <w:tcW w:w="4606" w:type="dxa"/>
          </w:tcPr>
          <w:p w:rsidR="00B52DB3" w:rsidRPr="00F5617C" w:rsidRDefault="00B52DB3" w:rsidP="00EF01C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5617C">
              <w:rPr>
                <w:rFonts w:ascii="Arial" w:hAnsi="Arial" w:cs="Arial"/>
                <w:b/>
                <w:sz w:val="18"/>
                <w:szCs w:val="18"/>
              </w:rPr>
              <w:t>Izziv</w:t>
            </w:r>
          </w:p>
        </w:tc>
        <w:tc>
          <w:tcPr>
            <w:tcW w:w="4606" w:type="dxa"/>
          </w:tcPr>
          <w:p w:rsidR="00B52DB3" w:rsidRPr="00F5617C" w:rsidRDefault="00B52DB3" w:rsidP="00EF01C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5617C">
              <w:rPr>
                <w:rFonts w:ascii="Arial" w:hAnsi="Arial" w:cs="Arial"/>
                <w:b/>
                <w:sz w:val="18"/>
                <w:szCs w:val="18"/>
              </w:rPr>
              <w:t xml:space="preserve">Kratek opis </w:t>
            </w:r>
          </w:p>
        </w:tc>
      </w:tr>
      <w:tr w:rsidR="00B52DB3" w:rsidRPr="00F5617C" w:rsidTr="00B52DB3">
        <w:tc>
          <w:tcPr>
            <w:tcW w:w="4606" w:type="dxa"/>
          </w:tcPr>
          <w:p w:rsidR="00B52DB3" w:rsidRPr="00F5617C" w:rsidRDefault="00B52DB3" w:rsidP="00EF01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7C">
              <w:rPr>
                <w:rFonts w:ascii="Arial" w:hAnsi="Arial" w:cs="Arial"/>
                <w:sz w:val="18"/>
                <w:szCs w:val="18"/>
              </w:rPr>
              <w:t>Notranje zavedanje (</w:t>
            </w:r>
            <w:proofErr w:type="spellStart"/>
            <w:r w:rsidRPr="00F5617C">
              <w:rPr>
                <w:rFonts w:ascii="Arial" w:hAnsi="Arial" w:cs="Arial"/>
                <w:sz w:val="18"/>
                <w:szCs w:val="18"/>
              </w:rPr>
              <w:t>Awareness</w:t>
            </w:r>
            <w:proofErr w:type="spellEnd"/>
            <w:r w:rsidRPr="00F561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617C">
              <w:rPr>
                <w:rFonts w:ascii="Arial" w:hAnsi="Arial" w:cs="Arial"/>
                <w:sz w:val="18"/>
                <w:szCs w:val="18"/>
              </w:rPr>
              <w:t>inside</w:t>
            </w:r>
            <w:proofErr w:type="spellEnd"/>
            <w:r w:rsidRPr="00F5617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06" w:type="dxa"/>
          </w:tcPr>
          <w:p w:rsidR="00B52DB3" w:rsidRPr="00F5617C" w:rsidRDefault="00B52DB3" w:rsidP="00EF01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7C">
              <w:rPr>
                <w:rFonts w:ascii="Arial" w:hAnsi="Arial" w:cs="Arial"/>
                <w:sz w:val="18"/>
                <w:szCs w:val="18"/>
              </w:rPr>
              <w:t xml:space="preserve">EIC pričakuje teoretične in tehnološke </w:t>
            </w:r>
            <w:proofErr w:type="spellStart"/>
            <w:r w:rsidRPr="00F5617C">
              <w:rPr>
                <w:rFonts w:ascii="Arial" w:hAnsi="Arial" w:cs="Arial"/>
                <w:sz w:val="18"/>
                <w:szCs w:val="18"/>
              </w:rPr>
              <w:t>odgovoriena</w:t>
            </w:r>
            <w:proofErr w:type="spellEnd"/>
            <w:r w:rsidRPr="00F5617C">
              <w:rPr>
                <w:rFonts w:ascii="Arial" w:hAnsi="Arial" w:cs="Arial"/>
                <w:sz w:val="18"/>
                <w:szCs w:val="18"/>
              </w:rPr>
              <w:t xml:space="preserve"> vprašanja: kaj je drugače, če ima sistem zavedanje? Kakšna je dodana vrednost takega zavedanja, na primer z vidika uspešnosti, prilagodljivosti, sprejemljivosti ali uporabniške izkušnje?</w:t>
            </w:r>
          </w:p>
          <w:p w:rsidR="00B52DB3" w:rsidRPr="00F5617C" w:rsidRDefault="00B52DB3" w:rsidP="00EF01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2DB3" w:rsidRPr="00F5617C" w:rsidTr="00B52DB3">
        <w:tc>
          <w:tcPr>
            <w:tcW w:w="4606" w:type="dxa"/>
          </w:tcPr>
          <w:p w:rsidR="00B52DB3" w:rsidRPr="00F5617C" w:rsidRDefault="00B52DB3" w:rsidP="00EF01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7C">
              <w:rPr>
                <w:rFonts w:ascii="Arial" w:hAnsi="Arial" w:cs="Arial"/>
                <w:sz w:val="18"/>
                <w:szCs w:val="18"/>
              </w:rPr>
              <w:t>Orodja za merjenje in spodbujanje aktivnosti možganskih tkiv (</w:t>
            </w:r>
            <w:proofErr w:type="spellStart"/>
            <w:r w:rsidRPr="00F5617C">
              <w:rPr>
                <w:rFonts w:ascii="Arial" w:hAnsi="Arial" w:cs="Arial"/>
                <w:sz w:val="18"/>
                <w:szCs w:val="18"/>
              </w:rPr>
              <w:t>Tools</w:t>
            </w:r>
            <w:proofErr w:type="spellEnd"/>
            <w:r w:rsidRPr="00F5617C">
              <w:rPr>
                <w:rFonts w:ascii="Arial" w:hAnsi="Arial" w:cs="Arial"/>
                <w:sz w:val="18"/>
                <w:szCs w:val="18"/>
              </w:rPr>
              <w:t xml:space="preserve"> to </w:t>
            </w:r>
            <w:proofErr w:type="spellStart"/>
            <w:r w:rsidRPr="00F5617C">
              <w:rPr>
                <w:rFonts w:ascii="Arial" w:hAnsi="Arial" w:cs="Arial"/>
                <w:sz w:val="18"/>
                <w:szCs w:val="18"/>
              </w:rPr>
              <w:t>measure</w:t>
            </w:r>
            <w:proofErr w:type="spellEnd"/>
            <w:r w:rsidRPr="00F561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617C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F561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617C">
              <w:rPr>
                <w:rFonts w:ascii="Arial" w:hAnsi="Arial" w:cs="Arial"/>
                <w:sz w:val="18"/>
                <w:szCs w:val="18"/>
              </w:rPr>
              <w:t>stimulate</w:t>
            </w:r>
            <w:proofErr w:type="spellEnd"/>
            <w:r w:rsidRPr="00F561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617C">
              <w:rPr>
                <w:rFonts w:ascii="Arial" w:hAnsi="Arial" w:cs="Arial"/>
                <w:sz w:val="18"/>
                <w:szCs w:val="18"/>
              </w:rPr>
              <w:t>activity</w:t>
            </w:r>
            <w:proofErr w:type="spellEnd"/>
            <w:r w:rsidRPr="00F5617C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F5617C">
              <w:rPr>
                <w:rFonts w:ascii="Arial" w:hAnsi="Arial" w:cs="Arial"/>
                <w:sz w:val="18"/>
                <w:szCs w:val="18"/>
              </w:rPr>
              <w:t>brain</w:t>
            </w:r>
            <w:proofErr w:type="spellEnd"/>
            <w:r w:rsidRPr="00F561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617C">
              <w:rPr>
                <w:rFonts w:ascii="Arial" w:hAnsi="Arial" w:cs="Arial"/>
                <w:sz w:val="18"/>
                <w:szCs w:val="18"/>
              </w:rPr>
              <w:t>tissue</w:t>
            </w:r>
            <w:proofErr w:type="spellEnd"/>
            <w:r w:rsidRPr="00F5617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06" w:type="dxa"/>
          </w:tcPr>
          <w:p w:rsidR="00B52DB3" w:rsidRPr="00F5617C" w:rsidRDefault="00B52DB3" w:rsidP="00EF01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7C">
              <w:rPr>
                <w:rFonts w:ascii="Arial" w:hAnsi="Arial" w:cs="Arial"/>
                <w:sz w:val="18"/>
                <w:szCs w:val="18"/>
              </w:rPr>
              <w:t>EIC pričakuje razvoj novih diagnostičnih in terapevtskih tehnologij na podlagi nedavnega tehnološk</w:t>
            </w:r>
            <w:r w:rsidR="00801589" w:rsidRPr="00F5617C">
              <w:rPr>
                <w:rFonts w:ascii="Arial" w:hAnsi="Arial" w:cs="Arial"/>
                <w:sz w:val="18"/>
                <w:szCs w:val="18"/>
              </w:rPr>
              <w:t>ega</w:t>
            </w:r>
            <w:r w:rsidRPr="00F5617C">
              <w:rPr>
                <w:rFonts w:ascii="Arial" w:hAnsi="Arial" w:cs="Arial"/>
                <w:sz w:val="18"/>
                <w:szCs w:val="18"/>
              </w:rPr>
              <w:t xml:space="preserve"> napred</w:t>
            </w:r>
            <w:r w:rsidR="00801589" w:rsidRPr="00F5617C">
              <w:rPr>
                <w:rFonts w:ascii="Arial" w:hAnsi="Arial" w:cs="Arial"/>
                <w:sz w:val="18"/>
                <w:szCs w:val="18"/>
              </w:rPr>
              <w:t>ka</w:t>
            </w:r>
            <w:r w:rsidRPr="00F5617C">
              <w:rPr>
                <w:rFonts w:ascii="Arial" w:hAnsi="Arial" w:cs="Arial"/>
                <w:sz w:val="18"/>
                <w:szCs w:val="18"/>
              </w:rPr>
              <w:t xml:space="preserve"> (npr. Mikroelektronika ali </w:t>
            </w:r>
            <w:proofErr w:type="spellStart"/>
            <w:r w:rsidRPr="00F5617C">
              <w:rPr>
                <w:rFonts w:ascii="Arial" w:hAnsi="Arial" w:cs="Arial"/>
                <w:sz w:val="18"/>
                <w:szCs w:val="18"/>
              </w:rPr>
              <w:t>neinvazivno</w:t>
            </w:r>
            <w:proofErr w:type="spellEnd"/>
            <w:r w:rsidRPr="00F5617C">
              <w:rPr>
                <w:rFonts w:ascii="Arial" w:hAnsi="Arial" w:cs="Arial"/>
                <w:sz w:val="18"/>
                <w:szCs w:val="18"/>
              </w:rPr>
              <w:t xml:space="preserve"> slikanje</w:t>
            </w:r>
            <w:r w:rsidR="00801589" w:rsidRPr="00F5617C">
              <w:rPr>
                <w:rFonts w:ascii="Arial" w:hAnsi="Arial" w:cs="Arial"/>
                <w:sz w:val="18"/>
                <w:szCs w:val="18"/>
              </w:rPr>
              <w:t>) in hitrega</w:t>
            </w:r>
            <w:r w:rsidRPr="00F5617C">
              <w:rPr>
                <w:rFonts w:ascii="Arial" w:hAnsi="Arial" w:cs="Arial"/>
                <w:sz w:val="18"/>
                <w:szCs w:val="18"/>
              </w:rPr>
              <w:t xml:space="preserve"> napredk</w:t>
            </w:r>
            <w:r w:rsidR="00801589" w:rsidRPr="00F5617C">
              <w:rPr>
                <w:rFonts w:ascii="Arial" w:hAnsi="Arial" w:cs="Arial"/>
                <w:sz w:val="18"/>
                <w:szCs w:val="18"/>
              </w:rPr>
              <w:t>a</w:t>
            </w:r>
            <w:r w:rsidRPr="00F5617C">
              <w:rPr>
                <w:rFonts w:ascii="Arial" w:hAnsi="Arial" w:cs="Arial"/>
                <w:sz w:val="18"/>
                <w:szCs w:val="18"/>
              </w:rPr>
              <w:t xml:space="preserve"> v razumevanju, kako so povezani električni signali v centralnem in perifernem živčnem sistemu. </w:t>
            </w:r>
          </w:p>
        </w:tc>
      </w:tr>
      <w:tr w:rsidR="00B52DB3" w:rsidRPr="00F5617C" w:rsidTr="00B52DB3">
        <w:tc>
          <w:tcPr>
            <w:tcW w:w="4606" w:type="dxa"/>
          </w:tcPr>
          <w:p w:rsidR="00B52DB3" w:rsidRPr="00F5617C" w:rsidRDefault="00B52DB3" w:rsidP="00EF01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7C">
              <w:rPr>
                <w:rFonts w:ascii="Arial" w:hAnsi="Arial" w:cs="Arial"/>
                <w:sz w:val="18"/>
                <w:szCs w:val="18"/>
              </w:rPr>
              <w:t>Nastajajoče tehnologije na področju celične in genske terapije (</w:t>
            </w:r>
            <w:proofErr w:type="spellStart"/>
            <w:r w:rsidRPr="00F5617C">
              <w:rPr>
                <w:rFonts w:ascii="Arial" w:hAnsi="Arial" w:cs="Arial"/>
                <w:sz w:val="18"/>
                <w:szCs w:val="18"/>
              </w:rPr>
              <w:t>Emerging</w:t>
            </w:r>
            <w:proofErr w:type="spellEnd"/>
            <w:r w:rsidRPr="00F561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617C">
              <w:rPr>
                <w:rFonts w:ascii="Arial" w:hAnsi="Arial" w:cs="Arial"/>
                <w:sz w:val="18"/>
                <w:szCs w:val="18"/>
              </w:rPr>
              <w:t>technologies</w:t>
            </w:r>
            <w:proofErr w:type="spellEnd"/>
            <w:r w:rsidRPr="00F5617C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F5617C">
              <w:rPr>
                <w:rFonts w:ascii="Arial" w:hAnsi="Arial" w:cs="Arial"/>
                <w:sz w:val="18"/>
                <w:szCs w:val="18"/>
              </w:rPr>
              <w:t>cell</w:t>
            </w:r>
            <w:proofErr w:type="spellEnd"/>
            <w:r w:rsidRPr="00F561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617C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F5617C">
              <w:rPr>
                <w:rFonts w:ascii="Arial" w:hAnsi="Arial" w:cs="Arial"/>
                <w:sz w:val="18"/>
                <w:szCs w:val="18"/>
              </w:rPr>
              <w:t xml:space="preserve"> gene </w:t>
            </w:r>
            <w:proofErr w:type="spellStart"/>
            <w:r w:rsidRPr="00F5617C">
              <w:rPr>
                <w:rFonts w:ascii="Arial" w:hAnsi="Arial" w:cs="Arial"/>
                <w:sz w:val="18"/>
                <w:szCs w:val="18"/>
              </w:rPr>
              <w:t>therapy</w:t>
            </w:r>
            <w:proofErr w:type="spellEnd"/>
            <w:r w:rsidRPr="00F5617C">
              <w:rPr>
                <w:rFonts w:ascii="Arial" w:hAnsi="Arial" w:cs="Arial"/>
                <w:sz w:val="18"/>
                <w:szCs w:val="18"/>
              </w:rPr>
              <w:t xml:space="preserve"> - CGT)</w:t>
            </w:r>
          </w:p>
        </w:tc>
        <w:tc>
          <w:tcPr>
            <w:tcW w:w="4606" w:type="dxa"/>
          </w:tcPr>
          <w:p w:rsidR="00801589" w:rsidRPr="00F5617C" w:rsidRDefault="00801589" w:rsidP="00EF01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7C">
              <w:rPr>
                <w:rFonts w:ascii="Arial" w:hAnsi="Arial" w:cs="Arial"/>
                <w:sz w:val="18"/>
                <w:szCs w:val="18"/>
              </w:rPr>
              <w:t>EIC pričakuje nove tehnološke rešitve in / ali prebojne koncepte, ki daleč presegajo trenutno najsodobnejše stanje. Dobrodošli so tako predlogi za posamezne bolezni kot predlogi, ki niso vezani na posamezne bolezni.</w:t>
            </w:r>
          </w:p>
          <w:p w:rsidR="00B52DB3" w:rsidRPr="00F5617C" w:rsidRDefault="00B52DB3" w:rsidP="00EF01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2DB3" w:rsidRPr="00F5617C" w:rsidTr="00B52DB3">
        <w:tc>
          <w:tcPr>
            <w:tcW w:w="4606" w:type="dxa"/>
          </w:tcPr>
          <w:p w:rsidR="00B52DB3" w:rsidRPr="00F5617C" w:rsidRDefault="00B52DB3" w:rsidP="00EF01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7C">
              <w:rPr>
                <w:rFonts w:ascii="Arial" w:hAnsi="Arial" w:cs="Arial"/>
                <w:sz w:val="18"/>
                <w:szCs w:val="18"/>
              </w:rPr>
              <w:t xml:space="preserve">Nove poti do proizvodnje zelenega vodika (Novel </w:t>
            </w:r>
            <w:proofErr w:type="spellStart"/>
            <w:r w:rsidRPr="00F5617C">
              <w:rPr>
                <w:rFonts w:ascii="Arial" w:hAnsi="Arial" w:cs="Arial"/>
                <w:sz w:val="18"/>
                <w:szCs w:val="18"/>
              </w:rPr>
              <w:t>routes</w:t>
            </w:r>
            <w:proofErr w:type="spellEnd"/>
            <w:r w:rsidRPr="00F5617C">
              <w:rPr>
                <w:rFonts w:ascii="Arial" w:hAnsi="Arial" w:cs="Arial"/>
                <w:sz w:val="18"/>
                <w:szCs w:val="18"/>
              </w:rPr>
              <w:t xml:space="preserve"> to </w:t>
            </w:r>
            <w:proofErr w:type="spellStart"/>
            <w:r w:rsidRPr="00F5617C">
              <w:rPr>
                <w:rFonts w:ascii="Arial" w:hAnsi="Arial" w:cs="Arial"/>
                <w:sz w:val="18"/>
                <w:szCs w:val="18"/>
              </w:rPr>
              <w:t>green</w:t>
            </w:r>
            <w:proofErr w:type="spellEnd"/>
            <w:r w:rsidRPr="00F561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617C">
              <w:rPr>
                <w:rFonts w:ascii="Arial" w:hAnsi="Arial" w:cs="Arial"/>
                <w:sz w:val="18"/>
                <w:szCs w:val="18"/>
              </w:rPr>
              <w:t>hydrogen</w:t>
            </w:r>
            <w:proofErr w:type="spellEnd"/>
            <w:r w:rsidRPr="00F561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617C">
              <w:rPr>
                <w:rFonts w:ascii="Arial" w:hAnsi="Arial" w:cs="Arial"/>
                <w:sz w:val="18"/>
                <w:szCs w:val="18"/>
              </w:rPr>
              <w:t>production</w:t>
            </w:r>
            <w:proofErr w:type="spellEnd"/>
            <w:r w:rsidRPr="00F5617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06" w:type="dxa"/>
          </w:tcPr>
          <w:p w:rsidR="00B52DB3" w:rsidRPr="00F5617C" w:rsidRDefault="00801589" w:rsidP="00EF01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7C">
              <w:rPr>
                <w:rFonts w:ascii="Arial" w:hAnsi="Arial" w:cs="Arial"/>
                <w:sz w:val="18"/>
                <w:szCs w:val="18"/>
              </w:rPr>
              <w:t xml:space="preserve">EIC pričakuje rešitve, s katerimi bo mogoče izkoristiti možnosti za </w:t>
            </w:r>
            <w:proofErr w:type="spellStart"/>
            <w:r w:rsidRPr="00F5617C">
              <w:rPr>
                <w:rFonts w:ascii="Arial" w:hAnsi="Arial" w:cs="Arial"/>
                <w:sz w:val="18"/>
                <w:szCs w:val="18"/>
              </w:rPr>
              <w:t>medsektorsko</w:t>
            </w:r>
            <w:proofErr w:type="spellEnd"/>
            <w:r w:rsidRPr="00F5617C">
              <w:rPr>
                <w:rFonts w:ascii="Arial" w:hAnsi="Arial" w:cs="Arial"/>
                <w:sz w:val="18"/>
                <w:szCs w:val="18"/>
              </w:rPr>
              <w:t xml:space="preserve"> povezovanje in sistemsko integracijo ter olajšati izvajanje načel krožnega gospodarstva, po možnosti s </w:t>
            </w:r>
            <w:proofErr w:type="spellStart"/>
            <w:r w:rsidRPr="00F5617C">
              <w:rPr>
                <w:rFonts w:ascii="Arial" w:hAnsi="Arial" w:cs="Arial"/>
                <w:sz w:val="18"/>
                <w:szCs w:val="18"/>
              </w:rPr>
              <w:t>soproizvodnjo</w:t>
            </w:r>
            <w:proofErr w:type="spellEnd"/>
            <w:r w:rsidRPr="00F5617C">
              <w:rPr>
                <w:rFonts w:ascii="Arial" w:hAnsi="Arial" w:cs="Arial"/>
                <w:sz w:val="18"/>
                <w:szCs w:val="18"/>
              </w:rPr>
              <w:t xml:space="preserve"> kemikal</w:t>
            </w:r>
            <w:r w:rsidR="00F5617C">
              <w:rPr>
                <w:rFonts w:ascii="Arial" w:hAnsi="Arial" w:cs="Arial"/>
                <w:sz w:val="18"/>
                <w:szCs w:val="18"/>
              </w:rPr>
              <w:t xml:space="preserve">ij za </w:t>
            </w:r>
            <w:proofErr w:type="spellStart"/>
            <w:r w:rsidR="00F5617C">
              <w:rPr>
                <w:rFonts w:ascii="Arial" w:hAnsi="Arial" w:cs="Arial"/>
                <w:sz w:val="18"/>
                <w:szCs w:val="18"/>
              </w:rPr>
              <w:t>razog</w:t>
            </w:r>
            <w:r w:rsidRPr="00F5617C">
              <w:rPr>
                <w:rFonts w:ascii="Arial" w:hAnsi="Arial" w:cs="Arial"/>
                <w:sz w:val="18"/>
                <w:szCs w:val="18"/>
              </w:rPr>
              <w:t>ljičenje</w:t>
            </w:r>
            <w:proofErr w:type="spellEnd"/>
            <w:r w:rsidRPr="00F5617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52DB3" w:rsidRPr="00F5617C" w:rsidTr="00B52DB3">
        <w:tc>
          <w:tcPr>
            <w:tcW w:w="4606" w:type="dxa"/>
          </w:tcPr>
          <w:p w:rsidR="00B52DB3" w:rsidRPr="00F5617C" w:rsidRDefault="00B52DB3" w:rsidP="00EF01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7C">
              <w:rPr>
                <w:rFonts w:ascii="Arial" w:hAnsi="Arial" w:cs="Arial"/>
                <w:sz w:val="18"/>
                <w:szCs w:val="18"/>
              </w:rPr>
              <w:t>Pridobivanje živih snovi (</w:t>
            </w:r>
            <w:proofErr w:type="spellStart"/>
            <w:r w:rsidRPr="00F5617C">
              <w:rPr>
                <w:rFonts w:ascii="Arial" w:hAnsi="Arial" w:cs="Arial"/>
                <w:sz w:val="18"/>
                <w:szCs w:val="18"/>
              </w:rPr>
              <w:t>Engineered</w:t>
            </w:r>
            <w:proofErr w:type="spellEnd"/>
            <w:r w:rsidRPr="00F561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617C">
              <w:rPr>
                <w:rFonts w:ascii="Arial" w:hAnsi="Arial" w:cs="Arial"/>
                <w:sz w:val="18"/>
                <w:szCs w:val="18"/>
              </w:rPr>
              <w:t>living</w:t>
            </w:r>
            <w:proofErr w:type="spellEnd"/>
            <w:r w:rsidRPr="00F561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617C">
              <w:rPr>
                <w:rFonts w:ascii="Arial" w:hAnsi="Arial" w:cs="Arial"/>
                <w:sz w:val="18"/>
                <w:szCs w:val="18"/>
              </w:rPr>
              <w:t>materials</w:t>
            </w:r>
            <w:proofErr w:type="spellEnd"/>
            <w:r w:rsidRPr="00F5617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06" w:type="dxa"/>
          </w:tcPr>
          <w:p w:rsidR="00801589" w:rsidRPr="00F5617C" w:rsidRDefault="00801589" w:rsidP="00EF01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7C">
              <w:rPr>
                <w:rFonts w:ascii="Arial" w:hAnsi="Arial" w:cs="Arial"/>
                <w:sz w:val="18"/>
                <w:szCs w:val="18"/>
              </w:rPr>
              <w:t>EIC pričakuje razvoj novih tehnologij in platform za proizvodnjo živih snovi po naročilu</w:t>
            </w:r>
          </w:p>
          <w:p w:rsidR="00B52DB3" w:rsidRPr="00F5617C" w:rsidRDefault="00B52DB3" w:rsidP="00EF01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52DB3" w:rsidRPr="00F5617C" w:rsidRDefault="00801589" w:rsidP="00EF01C1">
      <w:pPr>
        <w:jc w:val="both"/>
        <w:rPr>
          <w:rFonts w:ascii="Arial" w:hAnsi="Arial" w:cs="Arial"/>
          <w:sz w:val="18"/>
          <w:szCs w:val="18"/>
        </w:rPr>
      </w:pPr>
      <w:r w:rsidRPr="00F5617C">
        <w:rPr>
          <w:rFonts w:ascii="Arial" w:hAnsi="Arial" w:cs="Arial"/>
          <w:sz w:val="18"/>
          <w:szCs w:val="18"/>
        </w:rPr>
        <w:t>Vir: Evropska komisija</w:t>
      </w:r>
    </w:p>
    <w:p w:rsidR="00F5617C" w:rsidRDefault="00F5617C" w:rsidP="00EF01C1">
      <w:pPr>
        <w:jc w:val="both"/>
        <w:rPr>
          <w:rFonts w:ascii="Arial" w:hAnsi="Arial" w:cs="Arial"/>
          <w:b/>
          <w:sz w:val="20"/>
          <w:szCs w:val="20"/>
        </w:rPr>
      </w:pPr>
    </w:p>
    <w:p w:rsidR="0012001B" w:rsidRPr="00EF01C1" w:rsidRDefault="00801589" w:rsidP="00EF01C1">
      <w:pPr>
        <w:jc w:val="both"/>
        <w:rPr>
          <w:rFonts w:ascii="Arial" w:hAnsi="Arial" w:cs="Arial"/>
          <w:b/>
          <w:sz w:val="20"/>
          <w:szCs w:val="20"/>
        </w:rPr>
      </w:pPr>
      <w:r w:rsidRPr="00EF01C1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801589" w:rsidRPr="00EF01C1" w:rsidRDefault="00801589" w:rsidP="00EF01C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F01C1">
        <w:rPr>
          <w:rFonts w:ascii="Arial" w:hAnsi="Arial" w:cs="Arial"/>
          <w:sz w:val="20"/>
          <w:szCs w:val="20"/>
        </w:rPr>
        <w:t>Informacija o razpisih s povezavami na posamezne razpise:</w:t>
      </w:r>
    </w:p>
    <w:p w:rsidR="00801589" w:rsidRPr="00EF01C1" w:rsidRDefault="00801589" w:rsidP="00EF01C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EF01C1">
          <w:rPr>
            <w:rStyle w:val="Hiperpovezava"/>
            <w:rFonts w:ascii="Arial" w:hAnsi="Arial" w:cs="Arial"/>
            <w:sz w:val="20"/>
            <w:szCs w:val="20"/>
          </w:rPr>
          <w:t>https://eic.ec.europa.eu/news/pathfinder-challenge-calls-worth-eu132-million-are-open-2021-06-15_en</w:t>
        </w:r>
      </w:hyperlink>
    </w:p>
    <w:p w:rsidR="00801589" w:rsidRPr="00EF01C1" w:rsidRDefault="00801589" w:rsidP="00EF01C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F01C1">
        <w:rPr>
          <w:rFonts w:ascii="Arial" w:hAnsi="Arial" w:cs="Arial"/>
          <w:sz w:val="20"/>
          <w:szCs w:val="20"/>
        </w:rPr>
        <w:t>Spletna stran EIC:</w:t>
      </w:r>
    </w:p>
    <w:p w:rsidR="00801589" w:rsidRPr="00EF01C1" w:rsidRDefault="00801589" w:rsidP="00EF01C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EF01C1">
          <w:rPr>
            <w:rStyle w:val="Hiperpovezava"/>
            <w:rFonts w:ascii="Arial" w:hAnsi="Arial" w:cs="Arial"/>
            <w:sz w:val="20"/>
            <w:szCs w:val="20"/>
          </w:rPr>
          <w:t>https://eic.ec.europa.eu/index_en</w:t>
        </w:r>
      </w:hyperlink>
    </w:p>
    <w:p w:rsidR="00801589" w:rsidRPr="00EF01C1" w:rsidRDefault="00801589" w:rsidP="00EF01C1">
      <w:pPr>
        <w:spacing w:after="0"/>
        <w:jc w:val="both"/>
        <w:rPr>
          <w:rFonts w:ascii="Arial" w:hAnsi="Arial" w:cs="Arial"/>
          <w:sz w:val="20"/>
          <w:szCs w:val="20"/>
        </w:rPr>
      </w:pPr>
      <w:r w:rsidRPr="00EF01C1">
        <w:rPr>
          <w:rFonts w:ascii="Arial" w:hAnsi="Arial" w:cs="Arial"/>
          <w:sz w:val="20"/>
          <w:szCs w:val="20"/>
        </w:rPr>
        <w:t>Pripravila:</w:t>
      </w:r>
    </w:p>
    <w:p w:rsidR="00801589" w:rsidRPr="00EF01C1" w:rsidRDefault="00801589" w:rsidP="00EF01C1">
      <w:pPr>
        <w:spacing w:after="0"/>
        <w:jc w:val="both"/>
        <w:rPr>
          <w:rFonts w:ascii="Arial" w:hAnsi="Arial" w:cs="Arial"/>
          <w:sz w:val="20"/>
          <w:szCs w:val="20"/>
        </w:rPr>
      </w:pPr>
      <w:r w:rsidRPr="00EF01C1">
        <w:rPr>
          <w:rFonts w:ascii="Arial" w:hAnsi="Arial" w:cs="Arial"/>
          <w:sz w:val="20"/>
          <w:szCs w:val="20"/>
        </w:rPr>
        <w:t>Darja Kocbek</w:t>
      </w:r>
    </w:p>
    <w:p w:rsidR="00801589" w:rsidRPr="0081033B" w:rsidRDefault="00801589" w:rsidP="00EF01C1">
      <w:pPr>
        <w:spacing w:after="0"/>
      </w:pPr>
    </w:p>
    <w:sectPr w:rsidR="00801589" w:rsidRPr="0081033B" w:rsidSect="00120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8BD"/>
    <w:multiLevelType w:val="hybridMultilevel"/>
    <w:tmpl w:val="D35E5E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0A66"/>
    <w:rsid w:val="0012001B"/>
    <w:rsid w:val="00801589"/>
    <w:rsid w:val="0081033B"/>
    <w:rsid w:val="008119D3"/>
    <w:rsid w:val="00B52DB3"/>
    <w:rsid w:val="00B80A66"/>
    <w:rsid w:val="00E0788C"/>
    <w:rsid w:val="00E10A65"/>
    <w:rsid w:val="00EF01C1"/>
    <w:rsid w:val="00F56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2001B"/>
  </w:style>
  <w:style w:type="paragraph" w:styleId="Naslov2">
    <w:name w:val="heading 2"/>
    <w:basedOn w:val="Navaden"/>
    <w:link w:val="Naslov2Znak"/>
    <w:uiPriority w:val="9"/>
    <w:qFormat/>
    <w:rsid w:val="00E10A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iPriority w:val="99"/>
    <w:unhideWhenUsed/>
    <w:rsid w:val="008103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81033B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y2iqfc">
    <w:name w:val="y2iqfc"/>
    <w:basedOn w:val="Privzetapisavaodstavka"/>
    <w:rsid w:val="0081033B"/>
  </w:style>
  <w:style w:type="character" w:styleId="Krepko">
    <w:name w:val="Strong"/>
    <w:basedOn w:val="Privzetapisavaodstavka"/>
    <w:uiPriority w:val="22"/>
    <w:qFormat/>
    <w:rsid w:val="00B52DB3"/>
    <w:rPr>
      <w:b/>
      <w:bCs/>
    </w:rPr>
  </w:style>
  <w:style w:type="table" w:styleId="Tabela-mrea">
    <w:name w:val="Table Grid"/>
    <w:basedOn w:val="Navadnatabela"/>
    <w:uiPriority w:val="59"/>
    <w:rsid w:val="00B52D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801589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F01C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E10A65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0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10A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ic.ec.europa.eu/index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ic.ec.europa.eu/news/pathfinder-challenge-calls-worth-eu132-million-are-open-2021-06-15_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2021-06-17T11:48:00Z</dcterms:created>
  <dcterms:modified xsi:type="dcterms:W3CDTF">2021-06-17T12:34:00Z</dcterms:modified>
</cp:coreProperties>
</file>