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55" w:rsidRPr="00467345" w:rsidRDefault="00813A55" w:rsidP="00813A5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55" w:rsidRPr="00301C78" w:rsidRDefault="00813A55" w:rsidP="00813A5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13A55" w:rsidRPr="00083714" w:rsidRDefault="00813A55" w:rsidP="00813A5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13A55" w:rsidRDefault="00813A55" w:rsidP="00813A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101 </w:t>
      </w:r>
      <w:r w:rsidRPr="00083714">
        <w:rPr>
          <w:b/>
        </w:rPr>
        <w:t>– 20</w:t>
      </w:r>
      <w:r>
        <w:rPr>
          <w:b/>
        </w:rPr>
        <w:t>23</w:t>
      </w:r>
    </w:p>
    <w:p w:rsidR="00813A55" w:rsidRDefault="00813A55" w:rsidP="00813A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813A55" w:rsidRDefault="00813A55" w:rsidP="00813A5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 sveženj ukrepov za nadgradnjo in okrepitev okvira EU za trajnostno financiranje</w:t>
      </w:r>
    </w:p>
    <w:p w:rsidR="002656BA" w:rsidRPr="009D3591" w:rsidRDefault="008248E3" w:rsidP="009D3591">
      <w:pPr>
        <w:jc w:val="both"/>
        <w:rPr>
          <w:rFonts w:ascii="Arial" w:hAnsi="Arial" w:cs="Arial"/>
          <w:b/>
          <w:i/>
        </w:rPr>
      </w:pPr>
      <w:r w:rsidRPr="009D3591">
        <w:rPr>
          <w:rFonts w:ascii="Arial" w:hAnsi="Arial" w:cs="Arial"/>
          <w:b/>
          <w:i/>
        </w:rPr>
        <w:t>Evropska komisija je predstavila nov sveženj ukrepov za nadgradnjo in okrepitev okvira EU za trajnostno financiranje. </w:t>
      </w:r>
      <w:r w:rsidR="00810421" w:rsidRPr="009D3591">
        <w:rPr>
          <w:rFonts w:ascii="Arial" w:hAnsi="Arial" w:cs="Arial"/>
          <w:b/>
          <w:i/>
        </w:rPr>
        <w:t xml:space="preserve">Namen svežnja je zagotoviti, da okvir za trajnostno financiranje deluje za podjetja, ki želijo vlagati v svoj prehod na </w:t>
      </w:r>
      <w:proofErr w:type="spellStart"/>
      <w:r w:rsidR="00810421" w:rsidRPr="009D3591">
        <w:rPr>
          <w:rFonts w:ascii="Arial" w:hAnsi="Arial" w:cs="Arial"/>
          <w:b/>
          <w:i/>
        </w:rPr>
        <w:t>trajnostnost</w:t>
      </w:r>
      <w:proofErr w:type="spellEnd"/>
      <w:r w:rsidR="00810421" w:rsidRPr="009D3591">
        <w:rPr>
          <w:rFonts w:ascii="Arial" w:hAnsi="Arial" w:cs="Arial"/>
          <w:b/>
          <w:i/>
        </w:rPr>
        <w:t>. Njegov cilj je tudi olajšati uporabo okvira za trajnostno financiranje in tako učinkovito prispevati k ciljem evropskega zelenega dogovora. Člani lahko dobijo več informacij na SBRA.</w:t>
      </w:r>
    </w:p>
    <w:p w:rsidR="00810421" w:rsidRPr="00813A55" w:rsidRDefault="00810421" w:rsidP="009D3591">
      <w:pPr>
        <w:jc w:val="both"/>
        <w:rPr>
          <w:rFonts w:ascii="Arial" w:hAnsi="Arial" w:cs="Arial"/>
          <w:b/>
          <w:sz w:val="20"/>
          <w:szCs w:val="20"/>
        </w:rPr>
      </w:pPr>
      <w:r w:rsidRPr="00813A55">
        <w:rPr>
          <w:rFonts w:ascii="Arial" w:hAnsi="Arial" w:cs="Arial"/>
          <w:b/>
          <w:sz w:val="20"/>
          <w:szCs w:val="20"/>
        </w:rPr>
        <w:t>Delegirani akti o taksonomiji EU</w:t>
      </w:r>
    </w:p>
    <w:p w:rsidR="00810421" w:rsidRPr="009D3591" w:rsidRDefault="00810421" w:rsidP="009D3591">
      <w:pPr>
        <w:jc w:val="both"/>
        <w:rPr>
          <w:rFonts w:ascii="Arial" w:hAnsi="Arial" w:cs="Arial"/>
          <w:sz w:val="20"/>
          <w:szCs w:val="20"/>
        </w:rPr>
      </w:pPr>
      <w:r w:rsidRPr="009D3591">
        <w:rPr>
          <w:rFonts w:ascii="Arial" w:hAnsi="Arial" w:cs="Arial"/>
          <w:sz w:val="20"/>
          <w:szCs w:val="20"/>
        </w:rPr>
        <w:t xml:space="preserve">Evropska komisija je na načelni ravni odobrila nov sklop meril taksonomije EU za gospodarske dejavnosti, ki znatno prispevajo k enemu ali več </w:t>
      </w:r>
      <w:proofErr w:type="spellStart"/>
      <w:r w:rsidRPr="009D3591">
        <w:rPr>
          <w:rFonts w:ascii="Arial" w:hAnsi="Arial" w:cs="Arial"/>
          <w:sz w:val="20"/>
          <w:szCs w:val="20"/>
        </w:rPr>
        <w:t>nepodnebnim</w:t>
      </w:r>
      <w:proofErr w:type="spellEnd"/>
      <w:r w:rsidRPr="009D3591">
        <w:rPr>
          <w:rFonts w:ascii="Arial" w:hAnsi="Arial" w:cs="Arial"/>
          <w:sz w:val="20"/>
          <w:szCs w:val="20"/>
        </w:rPr>
        <w:t xml:space="preserve"> okoljskim ciljem. Te so: trajnostna raba ter varstvo vodnih in morskih virov; prehod na krožno gospodarstvo; preprečevanje in nadzorovanje onesnaževanja; varstvo in obnova biotske raznovrstnosti in ekosistemov.</w:t>
      </w:r>
    </w:p>
    <w:p w:rsidR="00810421" w:rsidRPr="009D3591" w:rsidRDefault="00810421" w:rsidP="009D3591">
      <w:pPr>
        <w:jc w:val="both"/>
        <w:rPr>
          <w:rFonts w:ascii="Arial" w:hAnsi="Arial" w:cs="Arial"/>
          <w:sz w:val="20"/>
          <w:szCs w:val="20"/>
        </w:rPr>
      </w:pPr>
      <w:r w:rsidRPr="009D3591">
        <w:rPr>
          <w:rFonts w:ascii="Arial" w:hAnsi="Arial" w:cs="Arial"/>
          <w:sz w:val="20"/>
          <w:szCs w:val="20"/>
        </w:rPr>
        <w:t>Evropska komisija je sprejela tudi spremembe delegiranega akta EU o podnebni taksonomiji, s katerimi je razširila razpon gospodarskih dejavnosti, ki prispevajo k blažitvi podnebnih sprememb in prilagajanju nanje ter doslej niso bile vključene, zlasti v proizvodnem in prometnem sektorju.</w:t>
      </w:r>
    </w:p>
    <w:p w:rsidR="00810421" w:rsidRPr="00813A55" w:rsidRDefault="00810421" w:rsidP="009D3591">
      <w:pPr>
        <w:jc w:val="both"/>
        <w:rPr>
          <w:rFonts w:ascii="Arial" w:hAnsi="Arial" w:cs="Arial"/>
          <w:b/>
          <w:sz w:val="20"/>
          <w:szCs w:val="20"/>
        </w:rPr>
      </w:pPr>
      <w:r w:rsidRPr="00813A55">
        <w:rPr>
          <w:rFonts w:ascii="Arial" w:hAnsi="Arial" w:cs="Arial"/>
          <w:b/>
          <w:sz w:val="20"/>
          <w:szCs w:val="20"/>
        </w:rPr>
        <w:t>Predlog uredbe o ponudnikih ocen ESG (okoljskih, socialnih in upravljavskih vidikov)</w:t>
      </w:r>
    </w:p>
    <w:p w:rsidR="00810421" w:rsidRPr="009D3591" w:rsidRDefault="00810421" w:rsidP="009D3591">
      <w:pPr>
        <w:jc w:val="both"/>
        <w:rPr>
          <w:rFonts w:ascii="Arial" w:hAnsi="Arial" w:cs="Arial"/>
          <w:sz w:val="20"/>
          <w:szCs w:val="20"/>
        </w:rPr>
      </w:pPr>
      <w:r w:rsidRPr="009D3591">
        <w:rPr>
          <w:rFonts w:ascii="Arial" w:hAnsi="Arial" w:cs="Arial"/>
          <w:sz w:val="20"/>
          <w:szCs w:val="20"/>
        </w:rPr>
        <w:t>Po oceni Evropske komisije je danes trg ocen ESG premalo pregleden, zato predlaga uredbo za izboljšanje zanesljivosti in preglednosti dejavnosti ocenjevanja ESG. Nova organizacijska načela in jasna pravila o preprečevanju nasprotij interesov naj bi  povečala integriteto dejavnosti ponudnikov ocen ESG.</w:t>
      </w:r>
    </w:p>
    <w:p w:rsidR="00810421" w:rsidRPr="00813A55" w:rsidRDefault="00810421" w:rsidP="009D3591">
      <w:pPr>
        <w:jc w:val="both"/>
        <w:rPr>
          <w:rFonts w:ascii="Arial" w:hAnsi="Arial" w:cs="Arial"/>
          <w:b/>
          <w:sz w:val="20"/>
          <w:szCs w:val="20"/>
        </w:rPr>
      </w:pPr>
      <w:r w:rsidRPr="00813A55">
        <w:rPr>
          <w:rFonts w:ascii="Arial" w:hAnsi="Arial" w:cs="Arial"/>
          <w:b/>
          <w:sz w:val="20"/>
          <w:szCs w:val="20"/>
        </w:rPr>
        <w:t>Koristne informacije:</w:t>
      </w:r>
    </w:p>
    <w:p w:rsidR="00810421" w:rsidRPr="00813A55" w:rsidRDefault="00810421" w:rsidP="00813A5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13A55">
        <w:rPr>
          <w:rFonts w:ascii="Arial" w:hAnsi="Arial" w:cs="Arial"/>
          <w:sz w:val="20"/>
          <w:szCs w:val="20"/>
        </w:rPr>
        <w:t>Predlagani sveženj ukrepov:</w:t>
      </w:r>
    </w:p>
    <w:p w:rsidR="00810421" w:rsidRPr="00813A55" w:rsidRDefault="00810421" w:rsidP="00813A5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13A55">
          <w:rPr>
            <w:rStyle w:val="Hiperpovezava"/>
            <w:rFonts w:ascii="Arial" w:hAnsi="Arial" w:cs="Arial"/>
            <w:sz w:val="20"/>
            <w:szCs w:val="20"/>
          </w:rPr>
          <w:t>https://finance.ec.europa.eu/publications/sustainable-finance-package-2023_sl</w:t>
        </w:r>
      </w:hyperlink>
    </w:p>
    <w:p w:rsidR="00810421" w:rsidRPr="009D3591" w:rsidRDefault="00810421" w:rsidP="00813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3591">
        <w:rPr>
          <w:rFonts w:ascii="Arial" w:hAnsi="Arial" w:cs="Arial"/>
          <w:sz w:val="20"/>
          <w:szCs w:val="20"/>
        </w:rPr>
        <w:t>Pripravila:</w:t>
      </w:r>
    </w:p>
    <w:p w:rsidR="00810421" w:rsidRPr="009D3591" w:rsidRDefault="00810421" w:rsidP="00813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3591">
        <w:rPr>
          <w:rFonts w:ascii="Arial" w:hAnsi="Arial" w:cs="Arial"/>
          <w:sz w:val="20"/>
          <w:szCs w:val="20"/>
        </w:rPr>
        <w:t>Darja Kocbek</w:t>
      </w:r>
    </w:p>
    <w:sectPr w:rsidR="00810421" w:rsidRPr="009D3591" w:rsidSect="0026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E14"/>
    <w:multiLevelType w:val="hybridMultilevel"/>
    <w:tmpl w:val="A00EE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B789C"/>
    <w:multiLevelType w:val="multilevel"/>
    <w:tmpl w:val="B7B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8E3"/>
    <w:rsid w:val="002656BA"/>
    <w:rsid w:val="00810421"/>
    <w:rsid w:val="00813A55"/>
    <w:rsid w:val="008248E3"/>
    <w:rsid w:val="009D3591"/>
    <w:rsid w:val="00DD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56BA"/>
  </w:style>
  <w:style w:type="paragraph" w:styleId="Naslov2">
    <w:name w:val="heading 2"/>
    <w:basedOn w:val="Navaden"/>
    <w:link w:val="Naslov2Znak"/>
    <w:uiPriority w:val="9"/>
    <w:qFormat/>
    <w:rsid w:val="00813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10421"/>
    <w:rPr>
      <w:b/>
      <w:bCs/>
    </w:rPr>
  </w:style>
  <w:style w:type="paragraph" w:styleId="Navadensplet">
    <w:name w:val="Normal (Web)"/>
    <w:basedOn w:val="Navaden"/>
    <w:uiPriority w:val="99"/>
    <w:unhideWhenUsed/>
    <w:rsid w:val="0081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1042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3A5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13A5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ec.europa.eu/publications/sustainable-finance-package-2023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2023-06-14T16:39:00Z</dcterms:created>
  <dcterms:modified xsi:type="dcterms:W3CDTF">2023-06-14T17:38:00Z</dcterms:modified>
</cp:coreProperties>
</file>