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13" w:rsidRPr="00467345" w:rsidRDefault="00592413" w:rsidP="00592413">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92413" w:rsidRPr="00083714" w:rsidRDefault="00592413" w:rsidP="00592413">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592413" w:rsidRPr="00083714" w:rsidRDefault="00592413" w:rsidP="00592413">
      <w:pPr>
        <w:pBdr>
          <w:bottom w:val="single" w:sz="6" w:space="1" w:color="auto"/>
        </w:pBdr>
        <w:tabs>
          <w:tab w:val="left" w:pos="3120"/>
        </w:tabs>
        <w:spacing w:after="0"/>
        <w:jc w:val="center"/>
        <w:rPr>
          <w:sz w:val="16"/>
          <w:szCs w:val="16"/>
        </w:rPr>
      </w:pPr>
    </w:p>
    <w:p w:rsidR="00592413" w:rsidRDefault="00592413" w:rsidP="00592413">
      <w:pPr>
        <w:tabs>
          <w:tab w:val="left" w:pos="3120"/>
        </w:tabs>
        <w:spacing w:after="0"/>
        <w:rPr>
          <w:b/>
        </w:rPr>
      </w:pPr>
      <w:r w:rsidRPr="00083714">
        <w:rPr>
          <w:b/>
        </w:rPr>
        <w:tab/>
      </w:r>
    </w:p>
    <w:p w:rsidR="00592413" w:rsidRDefault="00592413" w:rsidP="00592413">
      <w:pPr>
        <w:tabs>
          <w:tab w:val="left" w:pos="3120"/>
        </w:tabs>
        <w:spacing w:after="0"/>
        <w:jc w:val="center"/>
        <w:rPr>
          <w:b/>
        </w:rPr>
      </w:pPr>
      <w:r>
        <w:rPr>
          <w:b/>
        </w:rPr>
        <w:t xml:space="preserve">Občasna informacija članom 100 </w:t>
      </w:r>
      <w:r w:rsidRPr="00083714">
        <w:rPr>
          <w:b/>
        </w:rPr>
        <w:t>– 20</w:t>
      </w:r>
      <w:r>
        <w:rPr>
          <w:b/>
        </w:rPr>
        <w:t>21</w:t>
      </w:r>
    </w:p>
    <w:p w:rsidR="00592413" w:rsidRDefault="00592413" w:rsidP="00592413">
      <w:pPr>
        <w:tabs>
          <w:tab w:val="left" w:pos="3120"/>
        </w:tabs>
        <w:spacing w:after="0"/>
        <w:jc w:val="center"/>
        <w:rPr>
          <w:b/>
        </w:rPr>
      </w:pPr>
    </w:p>
    <w:p w:rsidR="00592413" w:rsidRDefault="00592413" w:rsidP="00592413">
      <w:pPr>
        <w:tabs>
          <w:tab w:val="left" w:pos="3120"/>
        </w:tabs>
        <w:spacing w:after="0"/>
        <w:jc w:val="center"/>
        <w:rPr>
          <w:b/>
        </w:rPr>
      </w:pPr>
      <w:r>
        <w:rPr>
          <w:b/>
        </w:rPr>
        <w:t xml:space="preserve">14. junij </w:t>
      </w:r>
      <w:r w:rsidRPr="00083714">
        <w:rPr>
          <w:b/>
        </w:rPr>
        <w:t xml:space="preserve"> 20</w:t>
      </w:r>
      <w:r>
        <w:rPr>
          <w:b/>
        </w:rPr>
        <w:t>21</w:t>
      </w:r>
    </w:p>
    <w:p w:rsidR="00592413" w:rsidRPr="00050C1F" w:rsidRDefault="00592413" w:rsidP="00592413">
      <w:pPr>
        <w:tabs>
          <w:tab w:val="left" w:pos="3120"/>
        </w:tabs>
        <w:spacing w:after="0"/>
        <w:jc w:val="center"/>
        <w:rPr>
          <w:b/>
        </w:rPr>
      </w:pPr>
    </w:p>
    <w:p w:rsidR="00592413" w:rsidRDefault="00592413" w:rsidP="00592413">
      <w:pPr>
        <w:jc w:val="center"/>
        <w:rPr>
          <w:rFonts w:ascii="Arial" w:hAnsi="Arial" w:cs="Arial"/>
          <w:b/>
          <w:i/>
        </w:rPr>
      </w:pPr>
      <w:r>
        <w:rPr>
          <w:b/>
          <w:color w:val="993300"/>
          <w:sz w:val="32"/>
          <w:szCs w:val="32"/>
        </w:rPr>
        <w:t>Zahteve in  vodnik za pripravo načrta za enakost spolov (GEP), ki je pogoj za sodelovanje na razpisih programa Obzorje Evropa</w:t>
      </w:r>
    </w:p>
    <w:p w:rsidR="004B4EF9" w:rsidRPr="00D37454" w:rsidRDefault="00DA415C" w:rsidP="00D37454">
      <w:pPr>
        <w:jc w:val="both"/>
        <w:rPr>
          <w:rFonts w:ascii="Arial" w:hAnsi="Arial" w:cs="Arial"/>
          <w:b/>
          <w:i/>
        </w:rPr>
      </w:pPr>
      <w:r w:rsidRPr="00D37454">
        <w:rPr>
          <w:rFonts w:ascii="Arial" w:hAnsi="Arial" w:cs="Arial"/>
          <w:b/>
          <w:i/>
        </w:rPr>
        <w:t>J</w:t>
      </w:r>
      <w:r w:rsidR="00AE0C00" w:rsidRPr="00D37454">
        <w:rPr>
          <w:rFonts w:ascii="Arial" w:hAnsi="Arial" w:cs="Arial"/>
          <w:b/>
          <w:i/>
        </w:rPr>
        <w:t>avne organizacije, raziskovalne organizacije in visokošolske organizacije (</w:t>
      </w:r>
      <w:r w:rsidRPr="00D37454">
        <w:rPr>
          <w:rFonts w:ascii="Arial" w:hAnsi="Arial" w:cs="Arial"/>
          <w:b/>
          <w:i/>
        </w:rPr>
        <w:t xml:space="preserve">tudi </w:t>
      </w:r>
      <w:r w:rsidR="00AE0C00" w:rsidRPr="00D37454">
        <w:rPr>
          <w:rFonts w:ascii="Arial" w:hAnsi="Arial" w:cs="Arial"/>
          <w:b/>
          <w:i/>
        </w:rPr>
        <w:t xml:space="preserve"> </w:t>
      </w:r>
      <w:r w:rsidRPr="00D37454">
        <w:rPr>
          <w:rFonts w:ascii="Arial" w:hAnsi="Arial" w:cs="Arial"/>
          <w:b/>
          <w:i/>
        </w:rPr>
        <w:t>zasebne</w:t>
      </w:r>
      <w:r w:rsidR="00AE0C00" w:rsidRPr="00D37454">
        <w:rPr>
          <w:rFonts w:ascii="Arial" w:hAnsi="Arial" w:cs="Arial"/>
          <w:b/>
          <w:i/>
        </w:rPr>
        <w:t>)</w:t>
      </w:r>
      <w:r w:rsidRPr="00D37454">
        <w:rPr>
          <w:rFonts w:ascii="Arial" w:hAnsi="Arial" w:cs="Arial"/>
          <w:b/>
          <w:i/>
        </w:rPr>
        <w:t xml:space="preserve"> bodo kot pogoj za sodelovanje na razpisih novega programa za raziskave in inovacije Obzorje Evropa potrebovale načrt za enakost spolov (</w:t>
      </w:r>
      <w:proofErr w:type="spellStart"/>
      <w:r w:rsidRPr="00D37454">
        <w:rPr>
          <w:rFonts w:ascii="Arial" w:hAnsi="Arial" w:cs="Arial"/>
          <w:b/>
          <w:i/>
        </w:rPr>
        <w:t>Gender</w:t>
      </w:r>
      <w:proofErr w:type="spellEnd"/>
      <w:r w:rsidRPr="00D37454">
        <w:rPr>
          <w:rFonts w:ascii="Arial" w:hAnsi="Arial" w:cs="Arial"/>
          <w:b/>
          <w:i/>
        </w:rPr>
        <w:t xml:space="preserve"> </w:t>
      </w:r>
      <w:proofErr w:type="spellStart"/>
      <w:r w:rsidRPr="00D37454">
        <w:rPr>
          <w:rFonts w:ascii="Arial" w:hAnsi="Arial" w:cs="Arial"/>
          <w:b/>
          <w:i/>
        </w:rPr>
        <w:t>equality</w:t>
      </w:r>
      <w:proofErr w:type="spellEnd"/>
      <w:r w:rsidRPr="00D37454">
        <w:rPr>
          <w:rFonts w:ascii="Arial" w:hAnsi="Arial" w:cs="Arial"/>
          <w:b/>
          <w:i/>
        </w:rPr>
        <w:t xml:space="preserve"> plan – GEP). </w:t>
      </w:r>
      <w:r w:rsidR="00A92A03" w:rsidRPr="00D37454">
        <w:rPr>
          <w:rFonts w:ascii="Arial" w:hAnsi="Arial" w:cs="Arial"/>
          <w:b/>
          <w:i/>
        </w:rPr>
        <w:t xml:space="preserve">Za druge pravne osebe, kot so zasebna profitna podjetja vključno z malimi in srednjimi podjetji, pa tudi nevladne organizacije in organizacije civilne družbe, načrt GEP ni pogoj. </w:t>
      </w:r>
      <w:r w:rsidR="003F3FD6" w:rsidRPr="00D37454">
        <w:rPr>
          <w:rFonts w:ascii="Arial" w:hAnsi="Arial" w:cs="Arial"/>
          <w:b/>
          <w:i/>
        </w:rPr>
        <w:t xml:space="preserve">Evropska komisija </w:t>
      </w:r>
      <w:r w:rsidR="00D37454">
        <w:rPr>
          <w:rFonts w:ascii="Arial" w:hAnsi="Arial" w:cs="Arial"/>
          <w:b/>
          <w:i/>
        </w:rPr>
        <w:t xml:space="preserve">je </w:t>
      </w:r>
      <w:r w:rsidR="003F3FD6" w:rsidRPr="00D37454">
        <w:rPr>
          <w:rFonts w:ascii="Arial" w:hAnsi="Arial" w:cs="Arial"/>
          <w:b/>
          <w:i/>
        </w:rPr>
        <w:t xml:space="preserve">v delovnem programu programa Obzorje Evropa 2021-2022 letošnje leto </w:t>
      </w:r>
      <w:r w:rsidR="00D37454">
        <w:rPr>
          <w:rFonts w:ascii="Arial" w:hAnsi="Arial" w:cs="Arial"/>
          <w:b/>
          <w:i/>
        </w:rPr>
        <w:t xml:space="preserve">predvidela </w:t>
      </w:r>
      <w:r w:rsidR="003F3FD6" w:rsidRPr="00D37454">
        <w:rPr>
          <w:rFonts w:ascii="Arial" w:hAnsi="Arial" w:cs="Arial"/>
          <w:b/>
          <w:i/>
        </w:rPr>
        <w:t>kot prehodno obdobje</w:t>
      </w:r>
      <w:r w:rsidR="00D37454">
        <w:rPr>
          <w:rFonts w:ascii="Arial" w:hAnsi="Arial" w:cs="Arial"/>
          <w:b/>
          <w:i/>
        </w:rPr>
        <w:t xml:space="preserve"> za pripravo in uvedbo </w:t>
      </w:r>
      <w:r w:rsidR="00D37454" w:rsidRPr="00D37454">
        <w:rPr>
          <w:rFonts w:ascii="Arial" w:hAnsi="Arial" w:cs="Arial"/>
          <w:b/>
          <w:i/>
        </w:rPr>
        <w:t>načrtov GEP</w:t>
      </w:r>
      <w:r w:rsidR="003F3FD6" w:rsidRPr="00D37454">
        <w:rPr>
          <w:rFonts w:ascii="Arial" w:hAnsi="Arial" w:cs="Arial"/>
          <w:b/>
          <w:i/>
        </w:rPr>
        <w:t xml:space="preserve">. To pomeni, da bo </w:t>
      </w:r>
      <w:r w:rsidR="00D37454">
        <w:rPr>
          <w:rFonts w:ascii="Arial" w:hAnsi="Arial" w:cs="Arial"/>
          <w:b/>
          <w:i/>
        </w:rPr>
        <w:t xml:space="preserve">GEP </w:t>
      </w:r>
      <w:r w:rsidR="003F3FD6" w:rsidRPr="00D37454">
        <w:rPr>
          <w:rFonts w:ascii="Arial" w:hAnsi="Arial" w:cs="Arial"/>
          <w:b/>
          <w:i/>
        </w:rPr>
        <w:t>postal obvezen pogoj</w:t>
      </w:r>
      <w:r w:rsidRPr="00D37454">
        <w:rPr>
          <w:rFonts w:ascii="Arial" w:hAnsi="Arial" w:cs="Arial"/>
          <w:b/>
          <w:i/>
        </w:rPr>
        <w:t xml:space="preserve"> v letu 2022. </w:t>
      </w:r>
    </w:p>
    <w:p w:rsidR="00E20C3E" w:rsidRPr="00D37454" w:rsidRDefault="00E20C3E" w:rsidP="00D37454">
      <w:pPr>
        <w:jc w:val="both"/>
        <w:rPr>
          <w:rFonts w:ascii="Arial" w:hAnsi="Arial" w:cs="Arial"/>
          <w:b/>
          <w:sz w:val="20"/>
          <w:szCs w:val="20"/>
        </w:rPr>
      </w:pPr>
      <w:r w:rsidRPr="00D37454">
        <w:rPr>
          <w:rFonts w:ascii="Arial" w:hAnsi="Arial" w:cs="Arial"/>
          <w:b/>
          <w:sz w:val="20"/>
          <w:szCs w:val="20"/>
        </w:rPr>
        <w:t>Minimalne procesne zahteve, ki jih mora zajemati načrt GEP</w:t>
      </w:r>
    </w:p>
    <w:p w:rsidR="00E20C3E" w:rsidRPr="00D37454" w:rsidRDefault="00E20C3E" w:rsidP="00D37454">
      <w:pPr>
        <w:jc w:val="both"/>
        <w:rPr>
          <w:rFonts w:ascii="Arial" w:hAnsi="Arial" w:cs="Arial"/>
          <w:sz w:val="20"/>
          <w:szCs w:val="20"/>
        </w:rPr>
      </w:pPr>
      <w:r w:rsidRPr="00D37454">
        <w:rPr>
          <w:rFonts w:ascii="Arial" w:hAnsi="Arial" w:cs="Arial"/>
          <w:sz w:val="20"/>
          <w:szCs w:val="20"/>
        </w:rPr>
        <w:t xml:space="preserve">Kot uraden dokument mora biti javno objavljen na spletni strani organizacije. Pod njim mora biti podpisana vodilna oseba. Za izvajanje načrta GEP mora organizacija zagotoviti namenska sredstva in strokovno usposobljen kader. Zagotoviti mora zbiranje podatkov ločeno po spolu in o uresničevanju načrta GEP pripraviti letno poročilo. Za zaposlene in vodilni kader </w:t>
      </w:r>
      <w:r w:rsidR="00D37454">
        <w:rPr>
          <w:rFonts w:ascii="Arial" w:hAnsi="Arial" w:cs="Arial"/>
          <w:sz w:val="20"/>
          <w:szCs w:val="20"/>
        </w:rPr>
        <w:t>mora organizirati izobraže</w:t>
      </w:r>
      <w:r w:rsidRPr="00D37454">
        <w:rPr>
          <w:rFonts w:ascii="Arial" w:hAnsi="Arial" w:cs="Arial"/>
          <w:sz w:val="20"/>
          <w:szCs w:val="20"/>
        </w:rPr>
        <w:t>vanj</w:t>
      </w:r>
      <w:r w:rsidR="00D37454">
        <w:rPr>
          <w:rFonts w:ascii="Arial" w:hAnsi="Arial" w:cs="Arial"/>
          <w:sz w:val="20"/>
          <w:szCs w:val="20"/>
        </w:rPr>
        <w:t>e</w:t>
      </w:r>
      <w:r w:rsidRPr="00D37454">
        <w:rPr>
          <w:rFonts w:ascii="Arial" w:hAnsi="Arial" w:cs="Arial"/>
          <w:sz w:val="20"/>
          <w:szCs w:val="20"/>
        </w:rPr>
        <w:t xml:space="preserve"> na temo enakosti spolov in p</w:t>
      </w:r>
      <w:r w:rsidR="0098301A" w:rsidRPr="00D37454">
        <w:rPr>
          <w:rFonts w:ascii="Arial" w:hAnsi="Arial" w:cs="Arial"/>
          <w:sz w:val="20"/>
          <w:szCs w:val="20"/>
        </w:rPr>
        <w:t>reprečevanja prikrite diskrimin</w:t>
      </w:r>
      <w:r w:rsidRPr="00D37454">
        <w:rPr>
          <w:rFonts w:ascii="Arial" w:hAnsi="Arial" w:cs="Arial"/>
          <w:sz w:val="20"/>
          <w:szCs w:val="20"/>
        </w:rPr>
        <w:t>acije.</w:t>
      </w:r>
      <w:r w:rsidR="00DA415C" w:rsidRPr="00D37454">
        <w:rPr>
          <w:rFonts w:ascii="Arial" w:hAnsi="Arial" w:cs="Arial"/>
          <w:sz w:val="20"/>
          <w:szCs w:val="20"/>
        </w:rPr>
        <w:t xml:space="preserve"> </w:t>
      </w:r>
    </w:p>
    <w:p w:rsidR="0098301A" w:rsidRPr="00D37454" w:rsidRDefault="0098301A" w:rsidP="00D37454">
      <w:pPr>
        <w:jc w:val="both"/>
        <w:rPr>
          <w:rFonts w:ascii="Arial" w:hAnsi="Arial" w:cs="Arial"/>
          <w:b/>
          <w:sz w:val="20"/>
          <w:szCs w:val="20"/>
        </w:rPr>
      </w:pPr>
      <w:r w:rsidRPr="00D37454">
        <w:rPr>
          <w:rFonts w:ascii="Arial" w:hAnsi="Arial" w:cs="Arial"/>
          <w:b/>
          <w:sz w:val="20"/>
          <w:szCs w:val="20"/>
        </w:rPr>
        <w:t>Vsebina načrta GEP</w:t>
      </w:r>
    </w:p>
    <w:p w:rsidR="0098301A" w:rsidRPr="00D37454" w:rsidRDefault="0098301A" w:rsidP="00D37454">
      <w:pPr>
        <w:jc w:val="both"/>
        <w:rPr>
          <w:rFonts w:ascii="Arial" w:hAnsi="Arial" w:cs="Arial"/>
          <w:sz w:val="20"/>
          <w:szCs w:val="20"/>
        </w:rPr>
      </w:pPr>
      <w:r w:rsidRPr="00D37454">
        <w:rPr>
          <w:rFonts w:ascii="Arial" w:hAnsi="Arial" w:cs="Arial"/>
          <w:sz w:val="20"/>
          <w:szCs w:val="20"/>
        </w:rPr>
        <w:t xml:space="preserve">Evropska komisija priporoča, </w:t>
      </w:r>
      <w:r w:rsidR="00D37454">
        <w:rPr>
          <w:rFonts w:ascii="Arial" w:hAnsi="Arial" w:cs="Arial"/>
          <w:sz w:val="20"/>
          <w:szCs w:val="20"/>
        </w:rPr>
        <w:t>naj</w:t>
      </w:r>
      <w:r w:rsidRPr="00D37454">
        <w:rPr>
          <w:rFonts w:ascii="Arial" w:hAnsi="Arial" w:cs="Arial"/>
          <w:sz w:val="20"/>
          <w:szCs w:val="20"/>
        </w:rPr>
        <w:t xml:space="preserve"> organizacije v svoje  načrte GEP vključijo naslednja področja</w:t>
      </w:r>
      <w:r w:rsidR="00D37454">
        <w:rPr>
          <w:rFonts w:ascii="Arial" w:hAnsi="Arial" w:cs="Arial"/>
          <w:sz w:val="20"/>
          <w:szCs w:val="20"/>
        </w:rPr>
        <w:t xml:space="preserve"> s</w:t>
      </w:r>
      <w:r w:rsidRPr="00D37454">
        <w:rPr>
          <w:rFonts w:ascii="Arial" w:hAnsi="Arial" w:cs="Arial"/>
          <w:sz w:val="20"/>
          <w:szCs w:val="20"/>
        </w:rPr>
        <w:t xml:space="preserve"> konkretn</w:t>
      </w:r>
      <w:r w:rsidR="00D37454">
        <w:rPr>
          <w:rFonts w:ascii="Arial" w:hAnsi="Arial" w:cs="Arial"/>
          <w:sz w:val="20"/>
          <w:szCs w:val="20"/>
        </w:rPr>
        <w:t>imi</w:t>
      </w:r>
      <w:r w:rsidRPr="00D37454">
        <w:rPr>
          <w:rFonts w:ascii="Arial" w:hAnsi="Arial" w:cs="Arial"/>
          <w:sz w:val="20"/>
          <w:szCs w:val="20"/>
        </w:rPr>
        <w:t xml:space="preserve"> ukrep</w:t>
      </w:r>
      <w:r w:rsidR="00D37454">
        <w:rPr>
          <w:rFonts w:ascii="Arial" w:hAnsi="Arial" w:cs="Arial"/>
          <w:sz w:val="20"/>
          <w:szCs w:val="20"/>
        </w:rPr>
        <w:t>i in cilji</w:t>
      </w:r>
      <w:r w:rsidRPr="00D37454">
        <w:rPr>
          <w:rFonts w:ascii="Arial" w:hAnsi="Arial" w:cs="Arial"/>
          <w:sz w:val="20"/>
          <w:szCs w:val="20"/>
        </w:rPr>
        <w:t>:</w:t>
      </w:r>
    </w:p>
    <w:p w:rsidR="00C900E9" w:rsidRPr="00D37454" w:rsidRDefault="00C900E9" w:rsidP="00D37454">
      <w:pPr>
        <w:pStyle w:val="Odstavekseznama"/>
        <w:numPr>
          <w:ilvl w:val="0"/>
          <w:numId w:val="1"/>
        </w:numPr>
        <w:jc w:val="both"/>
        <w:rPr>
          <w:rFonts w:ascii="Arial" w:hAnsi="Arial" w:cs="Arial"/>
          <w:sz w:val="20"/>
          <w:szCs w:val="20"/>
        </w:rPr>
      </w:pPr>
      <w:r w:rsidRPr="00D37454">
        <w:rPr>
          <w:rFonts w:ascii="Arial" w:hAnsi="Arial" w:cs="Arial"/>
          <w:sz w:val="20"/>
          <w:szCs w:val="20"/>
        </w:rPr>
        <w:t>Enake možnosti spolov pri zaposlovanju in napredovanju v organizaciji</w:t>
      </w:r>
    </w:p>
    <w:p w:rsidR="00C900E9" w:rsidRPr="00D37454" w:rsidRDefault="00C900E9" w:rsidP="00D37454">
      <w:pPr>
        <w:pStyle w:val="Odstavekseznama"/>
        <w:numPr>
          <w:ilvl w:val="0"/>
          <w:numId w:val="1"/>
        </w:numPr>
        <w:jc w:val="both"/>
        <w:rPr>
          <w:rFonts w:ascii="Arial" w:hAnsi="Arial" w:cs="Arial"/>
          <w:sz w:val="20"/>
          <w:szCs w:val="20"/>
        </w:rPr>
      </w:pPr>
      <w:r w:rsidRPr="00D37454">
        <w:rPr>
          <w:rFonts w:ascii="Arial" w:hAnsi="Arial" w:cs="Arial"/>
          <w:sz w:val="20"/>
          <w:szCs w:val="20"/>
        </w:rPr>
        <w:t xml:space="preserve">Zagotovitev uravnotežene zastopanosti spolov na vodilnih in </w:t>
      </w:r>
      <w:proofErr w:type="spellStart"/>
      <w:r w:rsidRPr="00D37454">
        <w:rPr>
          <w:rFonts w:ascii="Arial" w:hAnsi="Arial" w:cs="Arial"/>
          <w:sz w:val="20"/>
          <w:szCs w:val="20"/>
        </w:rPr>
        <w:t>odločevalskih</w:t>
      </w:r>
      <w:proofErr w:type="spellEnd"/>
      <w:r w:rsidRPr="00D37454">
        <w:rPr>
          <w:rFonts w:ascii="Arial" w:hAnsi="Arial" w:cs="Arial"/>
          <w:sz w:val="20"/>
          <w:szCs w:val="20"/>
        </w:rPr>
        <w:t xml:space="preserve"> položajih v organizaciji</w:t>
      </w:r>
    </w:p>
    <w:p w:rsidR="00C900E9" w:rsidRPr="00D37454" w:rsidRDefault="00C900E9" w:rsidP="00D37454">
      <w:pPr>
        <w:pStyle w:val="Odstavekseznama"/>
        <w:numPr>
          <w:ilvl w:val="0"/>
          <w:numId w:val="1"/>
        </w:numPr>
        <w:jc w:val="both"/>
        <w:rPr>
          <w:rFonts w:ascii="Arial" w:hAnsi="Arial" w:cs="Arial"/>
          <w:sz w:val="20"/>
          <w:szCs w:val="20"/>
        </w:rPr>
      </w:pPr>
      <w:r w:rsidRPr="00D37454">
        <w:rPr>
          <w:rFonts w:ascii="Arial" w:hAnsi="Arial" w:cs="Arial"/>
          <w:sz w:val="20"/>
          <w:szCs w:val="20"/>
        </w:rPr>
        <w:t>Usklajevanje poklicnega in zasebnega življenja</w:t>
      </w:r>
      <w:r w:rsidR="001911DE" w:rsidRPr="00D37454">
        <w:rPr>
          <w:rFonts w:ascii="Arial" w:hAnsi="Arial" w:cs="Arial"/>
          <w:sz w:val="20"/>
          <w:szCs w:val="20"/>
        </w:rPr>
        <w:t xml:space="preserve"> </w:t>
      </w:r>
      <w:r w:rsidR="0098301A" w:rsidRPr="00D37454">
        <w:rPr>
          <w:rFonts w:ascii="Arial" w:hAnsi="Arial" w:cs="Arial"/>
          <w:sz w:val="20"/>
          <w:szCs w:val="20"/>
        </w:rPr>
        <w:t>v okviru</w:t>
      </w:r>
      <w:r w:rsidR="001911DE" w:rsidRPr="00D37454">
        <w:rPr>
          <w:rFonts w:ascii="Arial" w:hAnsi="Arial" w:cs="Arial"/>
          <w:sz w:val="20"/>
          <w:szCs w:val="20"/>
        </w:rPr>
        <w:t xml:space="preserve"> organizacijske kulture organizacije</w:t>
      </w:r>
    </w:p>
    <w:p w:rsidR="0098301A" w:rsidRPr="00D37454" w:rsidRDefault="0098301A" w:rsidP="00D37454">
      <w:pPr>
        <w:pStyle w:val="Odstavekseznama"/>
        <w:numPr>
          <w:ilvl w:val="0"/>
          <w:numId w:val="1"/>
        </w:numPr>
        <w:jc w:val="both"/>
        <w:rPr>
          <w:rFonts w:ascii="Arial" w:hAnsi="Arial" w:cs="Arial"/>
          <w:sz w:val="20"/>
          <w:szCs w:val="20"/>
        </w:rPr>
      </w:pPr>
      <w:r w:rsidRPr="00D37454">
        <w:rPr>
          <w:rFonts w:ascii="Arial" w:hAnsi="Arial" w:cs="Arial"/>
          <w:sz w:val="20"/>
          <w:szCs w:val="20"/>
        </w:rPr>
        <w:t>Upoštevanje dimenzije spola v vsebini raziskav in poučevanja</w:t>
      </w:r>
    </w:p>
    <w:p w:rsidR="001911DE" w:rsidRPr="00D37454" w:rsidRDefault="0098301A" w:rsidP="00D37454">
      <w:pPr>
        <w:pStyle w:val="Odstavekseznama"/>
        <w:numPr>
          <w:ilvl w:val="0"/>
          <w:numId w:val="1"/>
        </w:numPr>
        <w:jc w:val="both"/>
        <w:rPr>
          <w:rFonts w:ascii="Arial" w:hAnsi="Arial" w:cs="Arial"/>
          <w:sz w:val="20"/>
          <w:szCs w:val="20"/>
        </w:rPr>
      </w:pPr>
      <w:r w:rsidRPr="00D37454">
        <w:rPr>
          <w:rFonts w:ascii="Arial" w:hAnsi="Arial" w:cs="Arial"/>
          <w:sz w:val="20"/>
          <w:szCs w:val="20"/>
        </w:rPr>
        <w:t>Ukrepi za preprečevanje</w:t>
      </w:r>
      <w:r w:rsidR="001911DE" w:rsidRPr="00D37454">
        <w:rPr>
          <w:rFonts w:ascii="Arial" w:hAnsi="Arial" w:cs="Arial"/>
          <w:sz w:val="20"/>
          <w:szCs w:val="20"/>
        </w:rPr>
        <w:t xml:space="preserve"> </w:t>
      </w:r>
      <w:r w:rsidRPr="00D37454">
        <w:rPr>
          <w:rFonts w:ascii="Arial" w:hAnsi="Arial" w:cs="Arial"/>
          <w:sz w:val="20"/>
          <w:szCs w:val="20"/>
        </w:rPr>
        <w:t>nasilja na podlagi spola, kar vključuje tudi spolno nadlegovanje.</w:t>
      </w:r>
    </w:p>
    <w:p w:rsidR="00DA415C" w:rsidRPr="00D37454" w:rsidRDefault="00DA415C" w:rsidP="00D37454">
      <w:pPr>
        <w:jc w:val="both"/>
        <w:rPr>
          <w:rFonts w:ascii="Arial" w:hAnsi="Arial" w:cs="Arial"/>
          <w:sz w:val="20"/>
          <w:szCs w:val="20"/>
        </w:rPr>
      </w:pPr>
      <w:r w:rsidRPr="00D37454">
        <w:rPr>
          <w:rFonts w:ascii="Arial" w:hAnsi="Arial" w:cs="Arial"/>
          <w:sz w:val="20"/>
          <w:szCs w:val="20"/>
        </w:rPr>
        <w:t xml:space="preserve">Omenjene vsebine je dovoljeno vključiti tudi v druge </w:t>
      </w:r>
      <w:r w:rsidR="00A92A03" w:rsidRPr="00D37454">
        <w:rPr>
          <w:rFonts w:ascii="Arial" w:hAnsi="Arial" w:cs="Arial"/>
          <w:sz w:val="20"/>
          <w:szCs w:val="20"/>
        </w:rPr>
        <w:t>strateške dokumente organizacije, kot je razvojni načrt ali strategija za vključevanje in raznolikost spolov</w:t>
      </w:r>
      <w:r w:rsidRPr="00D37454">
        <w:rPr>
          <w:rFonts w:ascii="Arial" w:hAnsi="Arial" w:cs="Arial"/>
          <w:sz w:val="20"/>
          <w:szCs w:val="20"/>
        </w:rPr>
        <w:t xml:space="preserve">. Evropska komisija bo to </w:t>
      </w:r>
      <w:r w:rsidR="00323BFD">
        <w:rPr>
          <w:rFonts w:ascii="Arial" w:hAnsi="Arial" w:cs="Arial"/>
          <w:sz w:val="20"/>
          <w:szCs w:val="20"/>
        </w:rPr>
        <w:t xml:space="preserve">vključitev </w:t>
      </w:r>
      <w:r w:rsidRPr="00D37454">
        <w:rPr>
          <w:rFonts w:ascii="Arial" w:hAnsi="Arial" w:cs="Arial"/>
          <w:sz w:val="20"/>
          <w:szCs w:val="20"/>
        </w:rPr>
        <w:t xml:space="preserve">upoštevala kot izpolnitev pogoja, da ima organizacija GEP. </w:t>
      </w:r>
      <w:r w:rsidR="00323BFD">
        <w:rPr>
          <w:rFonts w:ascii="Arial" w:hAnsi="Arial" w:cs="Arial"/>
          <w:sz w:val="20"/>
          <w:szCs w:val="20"/>
        </w:rPr>
        <w:t>J</w:t>
      </w:r>
      <w:r w:rsidR="00A92A03" w:rsidRPr="00D37454">
        <w:rPr>
          <w:rFonts w:ascii="Arial" w:hAnsi="Arial" w:cs="Arial"/>
          <w:sz w:val="20"/>
          <w:szCs w:val="20"/>
        </w:rPr>
        <w:t xml:space="preserve">avne organizacije, raziskovalne organizacije in visokošolske organizacije (tudi  zasebne) </w:t>
      </w:r>
      <w:r w:rsidR="00323BFD">
        <w:rPr>
          <w:rFonts w:ascii="Arial" w:hAnsi="Arial" w:cs="Arial"/>
          <w:sz w:val="20"/>
          <w:szCs w:val="20"/>
        </w:rPr>
        <w:t xml:space="preserve">bodo </w:t>
      </w:r>
      <w:r w:rsidR="00A92A03" w:rsidRPr="00D37454">
        <w:rPr>
          <w:rFonts w:ascii="Arial" w:hAnsi="Arial" w:cs="Arial"/>
          <w:sz w:val="20"/>
          <w:szCs w:val="20"/>
        </w:rPr>
        <w:t xml:space="preserve">morale </w:t>
      </w:r>
      <w:r w:rsidR="00323BFD">
        <w:rPr>
          <w:rFonts w:ascii="Arial" w:hAnsi="Arial" w:cs="Arial"/>
          <w:sz w:val="20"/>
          <w:szCs w:val="20"/>
        </w:rPr>
        <w:t>že k</w:t>
      </w:r>
      <w:r w:rsidR="00323BFD" w:rsidRPr="00D37454">
        <w:rPr>
          <w:rFonts w:ascii="Arial" w:hAnsi="Arial" w:cs="Arial"/>
          <w:sz w:val="20"/>
          <w:szCs w:val="20"/>
        </w:rPr>
        <w:t xml:space="preserve"> prijavi na razpise programa Obzorje Evropa  </w:t>
      </w:r>
      <w:r w:rsidR="00A92A03" w:rsidRPr="00D37454">
        <w:rPr>
          <w:rFonts w:ascii="Arial" w:hAnsi="Arial" w:cs="Arial"/>
          <w:sz w:val="20"/>
          <w:szCs w:val="20"/>
        </w:rPr>
        <w:t xml:space="preserve">priložiti izjavo, da imajo načrt GEP. </w:t>
      </w:r>
    </w:p>
    <w:p w:rsidR="00A92A03" w:rsidRPr="00D37454" w:rsidRDefault="00071EFA" w:rsidP="00D37454">
      <w:pPr>
        <w:jc w:val="both"/>
        <w:rPr>
          <w:rFonts w:ascii="Arial" w:hAnsi="Arial" w:cs="Arial"/>
          <w:sz w:val="20"/>
          <w:szCs w:val="20"/>
        </w:rPr>
      </w:pPr>
      <w:r w:rsidRPr="00D37454">
        <w:rPr>
          <w:rFonts w:ascii="Arial" w:hAnsi="Arial" w:cs="Arial"/>
          <w:sz w:val="20"/>
          <w:szCs w:val="20"/>
        </w:rPr>
        <w:lastRenderedPageBreak/>
        <w:t xml:space="preserve">Evropska komisija prav tako zahteva, da bodo </w:t>
      </w:r>
      <w:r w:rsidR="00323BFD">
        <w:rPr>
          <w:rFonts w:ascii="Arial" w:hAnsi="Arial" w:cs="Arial"/>
          <w:sz w:val="20"/>
          <w:szCs w:val="20"/>
        </w:rPr>
        <w:t>morale</w:t>
      </w:r>
      <w:r w:rsidRPr="00D37454">
        <w:rPr>
          <w:rFonts w:ascii="Arial" w:hAnsi="Arial" w:cs="Arial"/>
          <w:sz w:val="20"/>
          <w:szCs w:val="20"/>
        </w:rPr>
        <w:t xml:space="preserve"> </w:t>
      </w:r>
      <w:r w:rsidR="00300BCC" w:rsidRPr="00D37454">
        <w:rPr>
          <w:rFonts w:ascii="Arial" w:hAnsi="Arial" w:cs="Arial"/>
          <w:sz w:val="20"/>
          <w:szCs w:val="20"/>
        </w:rPr>
        <w:t>sprejeti</w:t>
      </w:r>
      <w:r w:rsidRPr="00D37454">
        <w:rPr>
          <w:rFonts w:ascii="Arial" w:hAnsi="Arial" w:cs="Arial"/>
          <w:sz w:val="20"/>
          <w:szCs w:val="20"/>
        </w:rPr>
        <w:t xml:space="preserve"> ukrepe za ozaveščanje o pomenu enakih možnosti med moškimi in ženskami</w:t>
      </w:r>
      <w:r w:rsidR="00300BCC" w:rsidRPr="00D37454">
        <w:rPr>
          <w:rFonts w:ascii="Arial" w:hAnsi="Arial" w:cs="Arial"/>
          <w:sz w:val="20"/>
          <w:szCs w:val="20"/>
        </w:rPr>
        <w:t>, kjer je to mogoče, v skladu s svojim akcijskim načrtom GEP. Prizadevati si morajo, da v čim večji meri dosežejo spolno ravnotežje med zaposlenimi na vseh ravneh delovanja vključno z vodstvenimi in vodilnimi položaji.</w:t>
      </w:r>
    </w:p>
    <w:p w:rsidR="00323BFD" w:rsidRPr="00323BFD" w:rsidRDefault="00323BFD" w:rsidP="00D37454">
      <w:pPr>
        <w:jc w:val="both"/>
        <w:rPr>
          <w:rFonts w:ascii="Arial" w:hAnsi="Arial" w:cs="Arial"/>
          <w:b/>
          <w:sz w:val="20"/>
          <w:szCs w:val="20"/>
        </w:rPr>
      </w:pPr>
      <w:r w:rsidRPr="00323BFD">
        <w:rPr>
          <w:rFonts w:ascii="Arial" w:hAnsi="Arial" w:cs="Arial"/>
          <w:b/>
          <w:sz w:val="20"/>
          <w:szCs w:val="20"/>
        </w:rPr>
        <w:t>Vodnik za pripravo načrta GEP</w:t>
      </w:r>
    </w:p>
    <w:p w:rsidR="00323BFD" w:rsidRDefault="00BD58B2" w:rsidP="00D37454">
      <w:pPr>
        <w:jc w:val="both"/>
        <w:rPr>
          <w:rFonts w:ascii="Arial" w:hAnsi="Arial" w:cs="Arial"/>
          <w:sz w:val="20"/>
          <w:szCs w:val="20"/>
        </w:rPr>
      </w:pPr>
      <w:r w:rsidRPr="00D37454">
        <w:rPr>
          <w:rFonts w:ascii="Arial" w:hAnsi="Arial" w:cs="Arial"/>
          <w:sz w:val="20"/>
          <w:szCs w:val="20"/>
        </w:rPr>
        <w:t xml:space="preserve">Evropski inštitut za enakost spolov (EIGE) </w:t>
      </w:r>
      <w:r w:rsidR="00323BFD">
        <w:rPr>
          <w:rFonts w:ascii="Arial" w:hAnsi="Arial" w:cs="Arial"/>
          <w:sz w:val="20"/>
          <w:szCs w:val="20"/>
        </w:rPr>
        <w:t xml:space="preserve">je </w:t>
      </w:r>
      <w:r w:rsidRPr="00D37454">
        <w:rPr>
          <w:rFonts w:ascii="Arial" w:hAnsi="Arial" w:cs="Arial"/>
          <w:sz w:val="20"/>
          <w:szCs w:val="20"/>
        </w:rPr>
        <w:t xml:space="preserve">na svoji spletni strani </w:t>
      </w:r>
      <w:r w:rsidR="00323BFD">
        <w:rPr>
          <w:rFonts w:ascii="Arial" w:hAnsi="Arial" w:cs="Arial"/>
          <w:sz w:val="20"/>
          <w:szCs w:val="20"/>
        </w:rPr>
        <w:t>objavil natančnejša pojasnila</w:t>
      </w:r>
      <w:r w:rsidRPr="00D37454">
        <w:rPr>
          <w:rFonts w:ascii="Arial" w:hAnsi="Arial" w:cs="Arial"/>
          <w:sz w:val="20"/>
          <w:szCs w:val="20"/>
        </w:rPr>
        <w:t xml:space="preserve">, </w:t>
      </w:r>
      <w:r w:rsidR="00323BFD">
        <w:rPr>
          <w:rFonts w:ascii="Arial" w:hAnsi="Arial" w:cs="Arial"/>
          <w:sz w:val="20"/>
          <w:szCs w:val="20"/>
        </w:rPr>
        <w:t>kaj je za Evropsko komisijo načrt GEP in vodnik za njegovo pripravo.</w:t>
      </w:r>
    </w:p>
    <w:p w:rsidR="00BD58B2" w:rsidRPr="00D37454" w:rsidRDefault="00BD58B2" w:rsidP="00D37454">
      <w:pPr>
        <w:jc w:val="both"/>
        <w:rPr>
          <w:rFonts w:ascii="Arial" w:hAnsi="Arial" w:cs="Arial"/>
          <w:sz w:val="20"/>
          <w:szCs w:val="20"/>
        </w:rPr>
      </w:pPr>
      <w:r w:rsidRPr="00D37454">
        <w:rPr>
          <w:rFonts w:ascii="Arial" w:hAnsi="Arial" w:cs="Arial"/>
          <w:sz w:val="20"/>
          <w:szCs w:val="20"/>
        </w:rPr>
        <w:t xml:space="preserve">Evropska komisija GEP </w:t>
      </w:r>
      <w:r w:rsidR="00323BFD">
        <w:rPr>
          <w:rFonts w:ascii="Arial" w:hAnsi="Arial" w:cs="Arial"/>
          <w:sz w:val="20"/>
          <w:szCs w:val="20"/>
        </w:rPr>
        <w:t xml:space="preserve">razume </w:t>
      </w:r>
      <w:r w:rsidRPr="00D37454">
        <w:rPr>
          <w:rFonts w:ascii="Arial" w:hAnsi="Arial" w:cs="Arial"/>
          <w:sz w:val="20"/>
          <w:szCs w:val="20"/>
        </w:rPr>
        <w:t xml:space="preserve">kot </w:t>
      </w:r>
      <w:r w:rsidR="00323BFD">
        <w:rPr>
          <w:rFonts w:ascii="Arial" w:hAnsi="Arial" w:cs="Arial"/>
          <w:sz w:val="20"/>
          <w:szCs w:val="20"/>
        </w:rPr>
        <w:t>načrt</w:t>
      </w:r>
      <w:r w:rsidRPr="00D37454">
        <w:rPr>
          <w:rFonts w:ascii="Arial" w:hAnsi="Arial" w:cs="Arial"/>
          <w:sz w:val="20"/>
          <w:szCs w:val="20"/>
        </w:rPr>
        <w:t xml:space="preserve"> za:</w:t>
      </w:r>
    </w:p>
    <w:p w:rsidR="00300BCC" w:rsidRPr="00D37454" w:rsidRDefault="00BD58B2" w:rsidP="00D37454">
      <w:pPr>
        <w:pStyle w:val="Odstavekseznama"/>
        <w:numPr>
          <w:ilvl w:val="0"/>
          <w:numId w:val="1"/>
        </w:numPr>
        <w:jc w:val="both"/>
        <w:rPr>
          <w:rFonts w:ascii="Arial" w:hAnsi="Arial" w:cs="Arial"/>
          <w:sz w:val="20"/>
          <w:szCs w:val="20"/>
        </w:rPr>
      </w:pPr>
      <w:r w:rsidRPr="00D37454">
        <w:rPr>
          <w:rFonts w:ascii="Arial" w:hAnsi="Arial" w:cs="Arial"/>
          <w:sz w:val="20"/>
          <w:szCs w:val="20"/>
        </w:rPr>
        <w:t>presojo vplivov/revizijo postopkov in praks za odkrivanje spolnih neravnovesij</w:t>
      </w:r>
      <w:r w:rsidR="00073008" w:rsidRPr="00D37454">
        <w:rPr>
          <w:rFonts w:ascii="Arial" w:hAnsi="Arial" w:cs="Arial"/>
          <w:sz w:val="20"/>
          <w:szCs w:val="20"/>
        </w:rPr>
        <w:t>;</w:t>
      </w:r>
    </w:p>
    <w:p w:rsidR="00073008" w:rsidRPr="00D37454" w:rsidRDefault="00323BFD" w:rsidP="00D37454">
      <w:pPr>
        <w:pStyle w:val="Odstavekseznama"/>
        <w:numPr>
          <w:ilvl w:val="0"/>
          <w:numId w:val="1"/>
        </w:numPr>
        <w:jc w:val="both"/>
        <w:rPr>
          <w:rFonts w:ascii="Arial" w:hAnsi="Arial" w:cs="Arial"/>
          <w:sz w:val="20"/>
          <w:szCs w:val="20"/>
        </w:rPr>
      </w:pPr>
      <w:r>
        <w:rPr>
          <w:rFonts w:ascii="Arial" w:hAnsi="Arial" w:cs="Arial"/>
          <w:sz w:val="20"/>
          <w:szCs w:val="20"/>
        </w:rPr>
        <w:t>o</w:t>
      </w:r>
      <w:r w:rsidR="00073008" w:rsidRPr="00D37454">
        <w:rPr>
          <w:rFonts w:ascii="Arial" w:hAnsi="Arial" w:cs="Arial"/>
          <w:sz w:val="20"/>
          <w:szCs w:val="20"/>
        </w:rPr>
        <w:t>dkrivanje in implementacijo inovativnih strategij za odpravo neravnovesij;</w:t>
      </w:r>
    </w:p>
    <w:p w:rsidR="00073008" w:rsidRPr="00D37454" w:rsidRDefault="00323BFD" w:rsidP="00D37454">
      <w:pPr>
        <w:pStyle w:val="Odstavekseznama"/>
        <w:numPr>
          <w:ilvl w:val="0"/>
          <w:numId w:val="1"/>
        </w:numPr>
        <w:jc w:val="both"/>
        <w:rPr>
          <w:rFonts w:ascii="Arial" w:hAnsi="Arial" w:cs="Arial"/>
          <w:sz w:val="20"/>
          <w:szCs w:val="20"/>
        </w:rPr>
      </w:pPr>
      <w:r>
        <w:rPr>
          <w:rFonts w:ascii="Arial" w:hAnsi="Arial" w:cs="Arial"/>
          <w:sz w:val="20"/>
          <w:szCs w:val="20"/>
        </w:rPr>
        <w:t>d</w:t>
      </w:r>
      <w:r w:rsidR="00073008" w:rsidRPr="00D37454">
        <w:rPr>
          <w:rFonts w:ascii="Arial" w:hAnsi="Arial" w:cs="Arial"/>
          <w:sz w:val="20"/>
          <w:szCs w:val="20"/>
        </w:rPr>
        <w:t xml:space="preserve">oločitev ciljev in postopka za </w:t>
      </w:r>
      <w:r>
        <w:rPr>
          <w:rFonts w:ascii="Arial" w:hAnsi="Arial" w:cs="Arial"/>
          <w:sz w:val="20"/>
          <w:szCs w:val="20"/>
        </w:rPr>
        <w:t>preverjan</w:t>
      </w:r>
      <w:r w:rsidR="00073008" w:rsidRPr="00D37454">
        <w:rPr>
          <w:rFonts w:ascii="Arial" w:hAnsi="Arial" w:cs="Arial"/>
          <w:sz w:val="20"/>
          <w:szCs w:val="20"/>
        </w:rPr>
        <w:t>je napredka s pomočjo kazalnikov.</w:t>
      </w:r>
    </w:p>
    <w:p w:rsidR="00073008" w:rsidRPr="00D37454" w:rsidRDefault="00323BFD" w:rsidP="00D37454">
      <w:pPr>
        <w:jc w:val="both"/>
        <w:rPr>
          <w:rFonts w:ascii="Arial" w:hAnsi="Arial" w:cs="Arial"/>
          <w:sz w:val="20"/>
          <w:szCs w:val="20"/>
        </w:rPr>
      </w:pPr>
      <w:r>
        <w:rPr>
          <w:rFonts w:ascii="Arial" w:hAnsi="Arial" w:cs="Arial"/>
          <w:sz w:val="20"/>
          <w:szCs w:val="20"/>
        </w:rPr>
        <w:t>U</w:t>
      </w:r>
      <w:r w:rsidR="00073008" w:rsidRPr="00D37454">
        <w:rPr>
          <w:rFonts w:ascii="Arial" w:hAnsi="Arial" w:cs="Arial"/>
          <w:sz w:val="20"/>
          <w:szCs w:val="20"/>
        </w:rPr>
        <w:t>krepi</w:t>
      </w:r>
      <w:r>
        <w:rPr>
          <w:rFonts w:ascii="Arial" w:hAnsi="Arial" w:cs="Arial"/>
          <w:sz w:val="20"/>
          <w:szCs w:val="20"/>
        </w:rPr>
        <w:t xml:space="preserve"> za izvedbo GEP</w:t>
      </w:r>
      <w:r w:rsidR="00073008" w:rsidRPr="00D37454">
        <w:rPr>
          <w:rFonts w:ascii="Arial" w:hAnsi="Arial" w:cs="Arial"/>
          <w:sz w:val="20"/>
          <w:szCs w:val="20"/>
        </w:rPr>
        <w:t xml:space="preserve">, katerih sestava in zahtevnost je lahko različna, naj bi </w:t>
      </w:r>
      <w:r>
        <w:rPr>
          <w:rFonts w:ascii="Arial" w:hAnsi="Arial" w:cs="Arial"/>
          <w:sz w:val="20"/>
          <w:szCs w:val="20"/>
        </w:rPr>
        <w:t>odražali</w:t>
      </w:r>
      <w:r w:rsidR="00073008" w:rsidRPr="00D37454">
        <w:rPr>
          <w:rFonts w:ascii="Arial" w:hAnsi="Arial" w:cs="Arial"/>
          <w:sz w:val="20"/>
          <w:szCs w:val="20"/>
        </w:rPr>
        <w:t xml:space="preserve">  strateški pogled organizacije na doseganje enakosti spolov. Za Evropsko komisijo ne bo dovolj, če se bo organizacija zgolj sklicevala na upoštevanje določb listin o enakosti spolov ali navedla le splošn</w:t>
      </w:r>
      <w:r w:rsidR="00DB3965" w:rsidRPr="00D37454">
        <w:rPr>
          <w:rFonts w:ascii="Arial" w:hAnsi="Arial" w:cs="Arial"/>
          <w:sz w:val="20"/>
          <w:szCs w:val="20"/>
        </w:rPr>
        <w:t>e cilje</w:t>
      </w:r>
      <w:r w:rsidR="00073008" w:rsidRPr="00D37454">
        <w:rPr>
          <w:rFonts w:ascii="Arial" w:hAnsi="Arial" w:cs="Arial"/>
          <w:sz w:val="20"/>
          <w:szCs w:val="20"/>
        </w:rPr>
        <w:t xml:space="preserve"> glede enakosti spolov</w:t>
      </w:r>
      <w:r w:rsidR="00DB3965" w:rsidRPr="00D37454">
        <w:rPr>
          <w:rFonts w:ascii="Arial" w:hAnsi="Arial" w:cs="Arial"/>
          <w:sz w:val="20"/>
          <w:szCs w:val="20"/>
        </w:rPr>
        <w:t xml:space="preserve">. Za uresničitev zavez </w:t>
      </w:r>
      <w:r w:rsidR="00073008" w:rsidRPr="00D37454">
        <w:rPr>
          <w:rFonts w:ascii="Arial" w:hAnsi="Arial" w:cs="Arial"/>
          <w:sz w:val="20"/>
          <w:szCs w:val="20"/>
        </w:rPr>
        <w:t xml:space="preserve"> </w:t>
      </w:r>
      <w:r w:rsidR="00DB3965" w:rsidRPr="00D37454">
        <w:rPr>
          <w:rFonts w:ascii="Arial" w:hAnsi="Arial" w:cs="Arial"/>
          <w:sz w:val="20"/>
          <w:szCs w:val="20"/>
        </w:rPr>
        <w:t xml:space="preserve">mora </w:t>
      </w:r>
      <w:r>
        <w:rPr>
          <w:rFonts w:ascii="Arial" w:hAnsi="Arial" w:cs="Arial"/>
          <w:sz w:val="20"/>
          <w:szCs w:val="20"/>
        </w:rPr>
        <w:t xml:space="preserve">organizacija v GEP </w:t>
      </w:r>
      <w:r w:rsidR="00DB3965" w:rsidRPr="00D37454">
        <w:rPr>
          <w:rFonts w:ascii="Arial" w:hAnsi="Arial" w:cs="Arial"/>
          <w:sz w:val="20"/>
          <w:szCs w:val="20"/>
        </w:rPr>
        <w:t>navesti</w:t>
      </w:r>
      <w:r w:rsidR="00073008" w:rsidRPr="00D37454">
        <w:rPr>
          <w:rFonts w:ascii="Arial" w:hAnsi="Arial" w:cs="Arial"/>
          <w:sz w:val="20"/>
          <w:szCs w:val="20"/>
        </w:rPr>
        <w:t xml:space="preserve"> konkreten sklop ukrepov </w:t>
      </w:r>
      <w:r w:rsidR="00DB3965" w:rsidRPr="00D37454">
        <w:rPr>
          <w:rFonts w:ascii="Arial" w:hAnsi="Arial" w:cs="Arial"/>
          <w:sz w:val="20"/>
          <w:szCs w:val="20"/>
        </w:rPr>
        <w:t>s koraki za njihovo uresničitev.</w:t>
      </w:r>
    </w:p>
    <w:p w:rsidR="00DB3965" w:rsidRPr="00D37454" w:rsidRDefault="00DB3965" w:rsidP="00D37454">
      <w:pPr>
        <w:jc w:val="both"/>
        <w:rPr>
          <w:rFonts w:ascii="Arial" w:hAnsi="Arial" w:cs="Arial"/>
          <w:sz w:val="20"/>
          <w:szCs w:val="20"/>
        </w:rPr>
      </w:pPr>
      <w:r w:rsidRPr="00D37454">
        <w:rPr>
          <w:rFonts w:ascii="Arial" w:hAnsi="Arial" w:cs="Arial"/>
          <w:sz w:val="20"/>
          <w:szCs w:val="20"/>
        </w:rPr>
        <w:t xml:space="preserve">Iz enakega razloga Evropska komisija kot načrt GEP tudi ne bo upoštevala splošne strategije raznolikosti spolov ali nediskriminacije, v kateri bo enakost spolov eno od področij. Če v strategiji </w:t>
      </w:r>
      <w:r w:rsidR="00323BFD">
        <w:rPr>
          <w:rFonts w:ascii="Arial" w:hAnsi="Arial" w:cs="Arial"/>
          <w:sz w:val="20"/>
          <w:szCs w:val="20"/>
        </w:rPr>
        <w:t>ni</w:t>
      </w:r>
      <w:r w:rsidRPr="00D37454">
        <w:rPr>
          <w:rFonts w:ascii="Arial" w:hAnsi="Arial" w:cs="Arial"/>
          <w:sz w:val="20"/>
          <w:szCs w:val="20"/>
        </w:rPr>
        <w:t xml:space="preserve"> dovolj  podatkov s področja enakosti spolov, </w:t>
      </w:r>
      <w:r w:rsidR="00323BFD">
        <w:rPr>
          <w:rFonts w:ascii="Arial" w:hAnsi="Arial" w:cs="Arial"/>
          <w:sz w:val="20"/>
          <w:szCs w:val="20"/>
        </w:rPr>
        <w:t>je</w:t>
      </w:r>
      <w:r w:rsidRPr="00D37454">
        <w:rPr>
          <w:rFonts w:ascii="Arial" w:hAnsi="Arial" w:cs="Arial"/>
          <w:sz w:val="20"/>
          <w:szCs w:val="20"/>
        </w:rPr>
        <w:t xml:space="preserve"> za dosego enakosti spolov navedenih le omejeno število ukrepov in kazalnikov, </w:t>
      </w:r>
      <w:r w:rsidR="00323BFD">
        <w:rPr>
          <w:rFonts w:ascii="Arial" w:hAnsi="Arial" w:cs="Arial"/>
          <w:sz w:val="20"/>
          <w:szCs w:val="20"/>
        </w:rPr>
        <w:t xml:space="preserve">po oceni Evropske komisi9je </w:t>
      </w:r>
      <w:r w:rsidRPr="00D37454">
        <w:rPr>
          <w:rFonts w:ascii="Arial" w:hAnsi="Arial" w:cs="Arial"/>
          <w:sz w:val="20"/>
          <w:szCs w:val="20"/>
        </w:rPr>
        <w:t>ni zagotovila, da bo organizacija dosegla enakost spolov.</w:t>
      </w:r>
    </w:p>
    <w:p w:rsidR="00323BFD" w:rsidRPr="00323BFD" w:rsidRDefault="00323BFD" w:rsidP="00D37454">
      <w:pPr>
        <w:jc w:val="both"/>
        <w:rPr>
          <w:rFonts w:ascii="Arial" w:hAnsi="Arial" w:cs="Arial"/>
          <w:b/>
          <w:sz w:val="20"/>
          <w:szCs w:val="20"/>
        </w:rPr>
      </w:pPr>
      <w:r w:rsidRPr="00323BFD">
        <w:rPr>
          <w:rFonts w:ascii="Arial" w:hAnsi="Arial" w:cs="Arial"/>
          <w:b/>
          <w:sz w:val="20"/>
          <w:szCs w:val="20"/>
        </w:rPr>
        <w:t>Obseg GEP</w:t>
      </w:r>
    </w:p>
    <w:p w:rsidR="00DB3965" w:rsidRPr="00D37454" w:rsidRDefault="00DB3965" w:rsidP="00D37454">
      <w:pPr>
        <w:jc w:val="both"/>
        <w:rPr>
          <w:rFonts w:ascii="Arial" w:hAnsi="Arial" w:cs="Arial"/>
          <w:sz w:val="20"/>
          <w:szCs w:val="20"/>
        </w:rPr>
      </w:pPr>
      <w:r w:rsidRPr="00D37454">
        <w:rPr>
          <w:rFonts w:ascii="Arial" w:hAnsi="Arial" w:cs="Arial"/>
          <w:sz w:val="20"/>
          <w:szCs w:val="20"/>
        </w:rPr>
        <w:t>Evropska komisija pa ne predpisuje obsega načrta GEP, kar pomeni, da bo lahko odvisen od tipa organizacije, institucionalnega okvira v katerem bo uresničen, disciplin, ki jih bo pokrival, oblik neenakosti spolov, odkritih neenakosti v organizaciji.</w:t>
      </w:r>
    </w:p>
    <w:p w:rsidR="00DB3965" w:rsidRPr="00D37454" w:rsidRDefault="00DB3965" w:rsidP="00D37454">
      <w:pPr>
        <w:jc w:val="both"/>
        <w:rPr>
          <w:rFonts w:ascii="Arial" w:hAnsi="Arial" w:cs="Arial"/>
          <w:sz w:val="20"/>
          <w:szCs w:val="20"/>
        </w:rPr>
      </w:pPr>
      <w:r w:rsidRPr="00D37454">
        <w:rPr>
          <w:rFonts w:ascii="Arial" w:hAnsi="Arial" w:cs="Arial"/>
          <w:sz w:val="20"/>
          <w:szCs w:val="20"/>
        </w:rPr>
        <w:t xml:space="preserve">Organizacijam bo Evropska komisija prepustila tudi izbiro načina, kako se bodo lotile odprave spolne in drugih neenakosti. Ta bo lahko odvisen od izbranega pristopa in strokovnega kadra, ki ga ima organizacija na voljo.  </w:t>
      </w:r>
      <w:r w:rsidR="007479DE" w:rsidRPr="00D37454">
        <w:rPr>
          <w:rFonts w:ascii="Arial" w:hAnsi="Arial" w:cs="Arial"/>
          <w:sz w:val="20"/>
          <w:szCs w:val="20"/>
        </w:rPr>
        <w:t xml:space="preserve">V zadnjem času so organizacije spolno neenakost </w:t>
      </w:r>
      <w:r w:rsidR="00323BFD">
        <w:rPr>
          <w:rFonts w:ascii="Arial" w:hAnsi="Arial" w:cs="Arial"/>
          <w:sz w:val="20"/>
          <w:szCs w:val="20"/>
        </w:rPr>
        <w:t>naslavljale v okviru</w:t>
      </w:r>
      <w:r w:rsidR="007479DE" w:rsidRPr="00D37454">
        <w:rPr>
          <w:rFonts w:ascii="Arial" w:hAnsi="Arial" w:cs="Arial"/>
          <w:sz w:val="20"/>
          <w:szCs w:val="20"/>
        </w:rPr>
        <w:t xml:space="preserve"> drug</w:t>
      </w:r>
      <w:r w:rsidR="00323BFD">
        <w:rPr>
          <w:rFonts w:ascii="Arial" w:hAnsi="Arial" w:cs="Arial"/>
          <w:sz w:val="20"/>
          <w:szCs w:val="20"/>
        </w:rPr>
        <w:t>ih</w:t>
      </w:r>
      <w:r w:rsidR="007479DE" w:rsidRPr="00D37454">
        <w:rPr>
          <w:rFonts w:ascii="Arial" w:hAnsi="Arial" w:cs="Arial"/>
          <w:sz w:val="20"/>
          <w:szCs w:val="20"/>
        </w:rPr>
        <w:t xml:space="preserve"> področ</w:t>
      </w:r>
      <w:r w:rsidR="00323BFD">
        <w:rPr>
          <w:rFonts w:ascii="Arial" w:hAnsi="Arial" w:cs="Arial"/>
          <w:sz w:val="20"/>
          <w:szCs w:val="20"/>
        </w:rPr>
        <w:t>ij</w:t>
      </w:r>
      <w:r w:rsidR="007479DE" w:rsidRPr="00D37454">
        <w:rPr>
          <w:rFonts w:ascii="Arial" w:hAnsi="Arial" w:cs="Arial"/>
          <w:sz w:val="20"/>
          <w:szCs w:val="20"/>
        </w:rPr>
        <w:t xml:space="preserve"> neenakosti (neenaka obravnava invalidov, starejših, diskriminacija na podlagi spolne usmerjenosti, religije, nacionalnosti).</w:t>
      </w:r>
    </w:p>
    <w:p w:rsidR="007479DE" w:rsidRPr="00D37454" w:rsidRDefault="007479DE" w:rsidP="00D37454">
      <w:pPr>
        <w:jc w:val="both"/>
        <w:rPr>
          <w:rFonts w:ascii="Arial" w:hAnsi="Arial" w:cs="Arial"/>
          <w:sz w:val="20"/>
          <w:szCs w:val="20"/>
        </w:rPr>
      </w:pPr>
      <w:r w:rsidRPr="00D37454">
        <w:rPr>
          <w:rFonts w:ascii="Arial" w:hAnsi="Arial" w:cs="Arial"/>
          <w:sz w:val="20"/>
          <w:szCs w:val="20"/>
        </w:rPr>
        <w:t xml:space="preserve">Naslavljanje drugih oblik neenakosti, ki sovpadajo s spolno neenakostjo, je lahko dodatna spodbuda za spremembe in lahko privede do priprave in izvedbe celovitih ukrepov in strategij. V </w:t>
      </w:r>
      <w:r w:rsidR="000A639D">
        <w:rPr>
          <w:rFonts w:ascii="Arial" w:hAnsi="Arial" w:cs="Arial"/>
          <w:sz w:val="20"/>
          <w:szCs w:val="20"/>
        </w:rPr>
        <w:t xml:space="preserve">inštitutu </w:t>
      </w:r>
      <w:r w:rsidRPr="00D37454">
        <w:rPr>
          <w:rFonts w:ascii="Arial" w:hAnsi="Arial" w:cs="Arial"/>
          <w:sz w:val="20"/>
          <w:szCs w:val="20"/>
        </w:rPr>
        <w:t xml:space="preserve">EIGE ob tem </w:t>
      </w:r>
      <w:r w:rsidR="000A639D">
        <w:rPr>
          <w:rFonts w:ascii="Arial" w:hAnsi="Arial" w:cs="Arial"/>
          <w:sz w:val="20"/>
          <w:szCs w:val="20"/>
        </w:rPr>
        <w:t xml:space="preserve">organizacije </w:t>
      </w:r>
      <w:r w:rsidRPr="00D37454">
        <w:rPr>
          <w:rFonts w:ascii="Arial" w:hAnsi="Arial" w:cs="Arial"/>
          <w:sz w:val="20"/>
          <w:szCs w:val="20"/>
        </w:rPr>
        <w:t>opozarjajo, da je v tem primeru treba imeti tudi več virov za izvajanje analiz, podatkov in širšo strokovno podporo kot v primeru priprave ločenega načrta za odpravo spolne neenakosti.</w:t>
      </w:r>
    </w:p>
    <w:p w:rsidR="007479DE" w:rsidRPr="00D37454" w:rsidRDefault="007479DE" w:rsidP="00D37454">
      <w:pPr>
        <w:jc w:val="both"/>
        <w:rPr>
          <w:rFonts w:ascii="Arial" w:hAnsi="Arial" w:cs="Arial"/>
          <w:sz w:val="20"/>
          <w:szCs w:val="20"/>
        </w:rPr>
      </w:pPr>
      <w:r w:rsidRPr="00D37454">
        <w:rPr>
          <w:rFonts w:ascii="Arial" w:hAnsi="Arial" w:cs="Arial"/>
          <w:sz w:val="20"/>
          <w:szCs w:val="20"/>
        </w:rPr>
        <w:t xml:space="preserve">Načrt GEP je mogoče razdeliti v različne korake in faze, ki zahtevajo različne ukrepe.  Razdeljen je recimo lahko na analitično fazo, fazo načrtovanja, fazo implementacije in fazo </w:t>
      </w:r>
      <w:proofErr w:type="spellStart"/>
      <w:r w:rsidRPr="00D37454">
        <w:rPr>
          <w:rFonts w:ascii="Arial" w:hAnsi="Arial" w:cs="Arial"/>
          <w:sz w:val="20"/>
          <w:szCs w:val="20"/>
        </w:rPr>
        <w:t>monitoringa</w:t>
      </w:r>
      <w:proofErr w:type="spellEnd"/>
      <w:r w:rsidRPr="00D37454">
        <w:rPr>
          <w:rFonts w:ascii="Arial" w:hAnsi="Arial" w:cs="Arial"/>
          <w:sz w:val="20"/>
          <w:szCs w:val="20"/>
        </w:rPr>
        <w:t>.</w:t>
      </w:r>
    </w:p>
    <w:p w:rsidR="00185BC7" w:rsidRPr="000A639D" w:rsidRDefault="00185BC7" w:rsidP="00D37454">
      <w:pPr>
        <w:jc w:val="both"/>
        <w:rPr>
          <w:rFonts w:ascii="Arial" w:hAnsi="Arial" w:cs="Arial"/>
          <w:b/>
          <w:sz w:val="20"/>
          <w:szCs w:val="20"/>
        </w:rPr>
      </w:pPr>
      <w:r w:rsidRPr="000A639D">
        <w:rPr>
          <w:rFonts w:ascii="Arial" w:hAnsi="Arial" w:cs="Arial"/>
          <w:b/>
          <w:sz w:val="20"/>
          <w:szCs w:val="20"/>
        </w:rPr>
        <w:t>Koristne informacije:</w:t>
      </w:r>
    </w:p>
    <w:p w:rsidR="00185BC7" w:rsidRPr="000A639D" w:rsidRDefault="00185BC7" w:rsidP="000A639D">
      <w:pPr>
        <w:pStyle w:val="Odstavekseznama"/>
        <w:numPr>
          <w:ilvl w:val="0"/>
          <w:numId w:val="4"/>
        </w:numPr>
        <w:jc w:val="both"/>
        <w:rPr>
          <w:rFonts w:ascii="Arial" w:hAnsi="Arial" w:cs="Arial"/>
          <w:sz w:val="20"/>
          <w:szCs w:val="20"/>
        </w:rPr>
      </w:pPr>
      <w:r w:rsidRPr="000A639D">
        <w:rPr>
          <w:rFonts w:ascii="Arial" w:hAnsi="Arial" w:cs="Arial"/>
          <w:sz w:val="20"/>
          <w:szCs w:val="20"/>
        </w:rPr>
        <w:t>Spletna stran EIGE z navodili za pripravo načrta GEP:</w:t>
      </w:r>
    </w:p>
    <w:p w:rsidR="00185BC7" w:rsidRPr="000A639D" w:rsidRDefault="00185BC7" w:rsidP="000A639D">
      <w:pPr>
        <w:pStyle w:val="Odstavekseznama"/>
        <w:numPr>
          <w:ilvl w:val="0"/>
          <w:numId w:val="4"/>
        </w:numPr>
        <w:jc w:val="both"/>
        <w:rPr>
          <w:rFonts w:ascii="Arial" w:hAnsi="Arial" w:cs="Arial"/>
          <w:sz w:val="20"/>
          <w:szCs w:val="20"/>
        </w:rPr>
      </w:pPr>
      <w:hyperlink r:id="rId6" w:history="1">
        <w:r w:rsidRPr="000A639D">
          <w:rPr>
            <w:rStyle w:val="Hiperpovezava"/>
            <w:rFonts w:ascii="Arial" w:hAnsi="Arial" w:cs="Arial"/>
            <w:sz w:val="20"/>
            <w:szCs w:val="20"/>
          </w:rPr>
          <w:t>https://eige.europa.eu/gender-mainstreaming/toolkits/gear/what-gender-equality-plan-gep</w:t>
        </w:r>
      </w:hyperlink>
    </w:p>
    <w:p w:rsidR="00185BC7" w:rsidRPr="000A639D" w:rsidRDefault="00976125" w:rsidP="000A639D">
      <w:pPr>
        <w:pStyle w:val="Odstavekseznama"/>
        <w:numPr>
          <w:ilvl w:val="0"/>
          <w:numId w:val="4"/>
        </w:numPr>
        <w:jc w:val="both"/>
        <w:rPr>
          <w:rFonts w:ascii="Arial" w:hAnsi="Arial" w:cs="Arial"/>
          <w:sz w:val="20"/>
          <w:szCs w:val="20"/>
        </w:rPr>
      </w:pPr>
      <w:r w:rsidRPr="000A639D">
        <w:rPr>
          <w:rFonts w:ascii="Arial" w:hAnsi="Arial" w:cs="Arial"/>
          <w:sz w:val="20"/>
          <w:szCs w:val="20"/>
        </w:rPr>
        <w:t>Pojasnila Evropske komisije glede zahtev za zagotovitev spolne enakosti v raziskavah:</w:t>
      </w:r>
    </w:p>
    <w:p w:rsidR="00976125" w:rsidRPr="000A639D" w:rsidRDefault="00976125" w:rsidP="000A639D">
      <w:pPr>
        <w:pStyle w:val="Odstavekseznama"/>
        <w:numPr>
          <w:ilvl w:val="0"/>
          <w:numId w:val="4"/>
        </w:numPr>
        <w:jc w:val="both"/>
        <w:rPr>
          <w:rFonts w:ascii="Arial" w:hAnsi="Arial" w:cs="Arial"/>
          <w:sz w:val="20"/>
          <w:szCs w:val="20"/>
        </w:rPr>
      </w:pPr>
      <w:hyperlink r:id="rId7" w:history="1">
        <w:r w:rsidRPr="000A639D">
          <w:rPr>
            <w:rStyle w:val="Hiperpovezava"/>
            <w:rFonts w:ascii="Arial" w:hAnsi="Arial" w:cs="Arial"/>
            <w:sz w:val="20"/>
            <w:szCs w:val="20"/>
          </w:rPr>
          <w:t>file:///C:/Users/darja/Downloads/KI0421003ENN.en.pdf</w:t>
        </w:r>
      </w:hyperlink>
    </w:p>
    <w:p w:rsidR="00976125" w:rsidRPr="000A639D" w:rsidRDefault="00D37454" w:rsidP="000A639D">
      <w:pPr>
        <w:pStyle w:val="Odstavekseznama"/>
        <w:numPr>
          <w:ilvl w:val="0"/>
          <w:numId w:val="4"/>
        </w:numPr>
        <w:jc w:val="both"/>
        <w:rPr>
          <w:rFonts w:ascii="Arial" w:hAnsi="Arial" w:cs="Arial"/>
          <w:sz w:val="20"/>
          <w:szCs w:val="20"/>
        </w:rPr>
      </w:pPr>
      <w:r w:rsidRPr="000A639D">
        <w:rPr>
          <w:rFonts w:ascii="Arial" w:hAnsi="Arial" w:cs="Arial"/>
          <w:sz w:val="20"/>
          <w:szCs w:val="20"/>
        </w:rPr>
        <w:lastRenderedPageBreak/>
        <w:t>Delovni program Obzorje Evropa 2021-2022 s pogoji za prijavitelje na razpise:</w:t>
      </w:r>
    </w:p>
    <w:p w:rsidR="00D37454" w:rsidRPr="000A639D" w:rsidRDefault="00D37454" w:rsidP="000A639D">
      <w:pPr>
        <w:pStyle w:val="Odstavekseznama"/>
        <w:numPr>
          <w:ilvl w:val="0"/>
          <w:numId w:val="4"/>
        </w:numPr>
        <w:jc w:val="both"/>
        <w:rPr>
          <w:rFonts w:ascii="Arial" w:hAnsi="Arial" w:cs="Arial"/>
          <w:sz w:val="20"/>
          <w:szCs w:val="20"/>
        </w:rPr>
      </w:pPr>
      <w:hyperlink r:id="rId8" w:history="1">
        <w:r w:rsidRPr="000A639D">
          <w:rPr>
            <w:rStyle w:val="Hiperpovezava"/>
            <w:rFonts w:ascii="Arial" w:hAnsi="Arial" w:cs="Arial"/>
            <w:sz w:val="20"/>
            <w:szCs w:val="20"/>
          </w:rPr>
          <w:t>https://ec.europa.eu/info/funding-tenders/opportunities/docs/2021-2027/horizon/wp-call/2021-2022/wp-13-general-annexes_horizon-2021-2022_en.pdf</w:t>
        </w:r>
      </w:hyperlink>
    </w:p>
    <w:p w:rsidR="00D37454" w:rsidRPr="00D37454" w:rsidRDefault="00D37454" w:rsidP="000A639D">
      <w:pPr>
        <w:spacing w:after="0"/>
        <w:jc w:val="both"/>
        <w:rPr>
          <w:rFonts w:ascii="Arial" w:hAnsi="Arial" w:cs="Arial"/>
          <w:sz w:val="20"/>
          <w:szCs w:val="20"/>
        </w:rPr>
      </w:pPr>
      <w:r w:rsidRPr="00D37454">
        <w:rPr>
          <w:rFonts w:ascii="Arial" w:hAnsi="Arial" w:cs="Arial"/>
          <w:sz w:val="20"/>
          <w:szCs w:val="20"/>
        </w:rPr>
        <w:t>Pripravila:</w:t>
      </w:r>
    </w:p>
    <w:p w:rsidR="00D37454" w:rsidRPr="00D37454" w:rsidRDefault="00D37454" w:rsidP="000A639D">
      <w:pPr>
        <w:spacing w:after="0"/>
        <w:jc w:val="both"/>
        <w:rPr>
          <w:rFonts w:ascii="Arial" w:hAnsi="Arial" w:cs="Arial"/>
          <w:sz w:val="20"/>
          <w:szCs w:val="20"/>
        </w:rPr>
      </w:pPr>
      <w:r w:rsidRPr="00D37454">
        <w:rPr>
          <w:rFonts w:ascii="Arial" w:hAnsi="Arial" w:cs="Arial"/>
          <w:sz w:val="20"/>
          <w:szCs w:val="20"/>
        </w:rPr>
        <w:t>Darja Kocbek</w:t>
      </w:r>
    </w:p>
    <w:p w:rsidR="00A92A03" w:rsidRDefault="00A92A03" w:rsidP="000A639D">
      <w:pPr>
        <w:spacing w:after="0"/>
      </w:pPr>
    </w:p>
    <w:p w:rsidR="003F3FD6" w:rsidRDefault="003F3FD6" w:rsidP="00DA415C"/>
    <w:p w:rsidR="0098301A" w:rsidRPr="00AE0C00" w:rsidRDefault="00DA415C" w:rsidP="0098301A">
      <w:pPr>
        <w:ind w:left="360"/>
      </w:pPr>
      <w:r>
        <w:t xml:space="preserve">         </w:t>
      </w:r>
    </w:p>
    <w:sectPr w:rsidR="0098301A" w:rsidRPr="00AE0C00" w:rsidSect="002647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13FF"/>
    <w:multiLevelType w:val="hybridMultilevel"/>
    <w:tmpl w:val="6DAE19BC"/>
    <w:lvl w:ilvl="0" w:tplc="BFC8F3CC">
      <w:start w:val="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ECE6A0A"/>
    <w:multiLevelType w:val="hybridMultilevel"/>
    <w:tmpl w:val="ABB23A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A6725FE"/>
    <w:multiLevelType w:val="hybridMultilevel"/>
    <w:tmpl w:val="789EDE98"/>
    <w:lvl w:ilvl="0" w:tplc="BFC8F3CC">
      <w:start w:val="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7254179"/>
    <w:multiLevelType w:val="hybridMultilevel"/>
    <w:tmpl w:val="0E8C8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0C00"/>
    <w:rsid w:val="00057EBC"/>
    <w:rsid w:val="00071EFA"/>
    <w:rsid w:val="00073008"/>
    <w:rsid w:val="000A639D"/>
    <w:rsid w:val="00185BC7"/>
    <w:rsid w:val="001911DE"/>
    <w:rsid w:val="00264792"/>
    <w:rsid w:val="00300BCC"/>
    <w:rsid w:val="00323BFD"/>
    <w:rsid w:val="003875D5"/>
    <w:rsid w:val="003F3FD6"/>
    <w:rsid w:val="004B4EF9"/>
    <w:rsid w:val="00592413"/>
    <w:rsid w:val="005C2360"/>
    <w:rsid w:val="007479DE"/>
    <w:rsid w:val="00976125"/>
    <w:rsid w:val="0098301A"/>
    <w:rsid w:val="00A92A03"/>
    <w:rsid w:val="00AE0C00"/>
    <w:rsid w:val="00BD0F2F"/>
    <w:rsid w:val="00BD58B2"/>
    <w:rsid w:val="00C900E9"/>
    <w:rsid w:val="00D37454"/>
    <w:rsid w:val="00DA415C"/>
    <w:rsid w:val="00DB3965"/>
    <w:rsid w:val="00E20C3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4792"/>
  </w:style>
  <w:style w:type="paragraph" w:styleId="Naslov2">
    <w:name w:val="heading 2"/>
    <w:basedOn w:val="Navaden"/>
    <w:link w:val="Naslov2Znak"/>
    <w:uiPriority w:val="9"/>
    <w:qFormat/>
    <w:rsid w:val="0059241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unhideWhenUsed/>
    <w:rsid w:val="00AE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AE0C00"/>
    <w:rPr>
      <w:rFonts w:ascii="Courier New" w:eastAsia="Times New Roman" w:hAnsi="Courier New" w:cs="Courier New"/>
      <w:sz w:val="20"/>
      <w:szCs w:val="20"/>
      <w:lang w:eastAsia="sl-SI"/>
    </w:rPr>
  </w:style>
  <w:style w:type="character" w:customStyle="1" w:styleId="y2iqfc">
    <w:name w:val="y2iqfc"/>
    <w:basedOn w:val="Privzetapisavaodstavka"/>
    <w:rsid w:val="00AE0C00"/>
  </w:style>
  <w:style w:type="paragraph" w:styleId="Odstavekseznama">
    <w:name w:val="List Paragraph"/>
    <w:basedOn w:val="Navaden"/>
    <w:uiPriority w:val="34"/>
    <w:qFormat/>
    <w:rsid w:val="00C900E9"/>
    <w:pPr>
      <w:ind w:left="720"/>
      <w:contextualSpacing/>
    </w:pPr>
  </w:style>
  <w:style w:type="character" w:styleId="Hiperpovezava">
    <w:name w:val="Hyperlink"/>
    <w:basedOn w:val="Privzetapisavaodstavka"/>
    <w:uiPriority w:val="99"/>
    <w:unhideWhenUsed/>
    <w:rsid w:val="00185BC7"/>
    <w:rPr>
      <w:color w:val="0000FF" w:themeColor="hyperlink"/>
      <w:u w:val="single"/>
    </w:rPr>
  </w:style>
  <w:style w:type="character" w:customStyle="1" w:styleId="Naslov2Znak">
    <w:name w:val="Naslov 2 Znak"/>
    <w:basedOn w:val="Privzetapisavaodstavka"/>
    <w:link w:val="Naslov2"/>
    <w:uiPriority w:val="9"/>
    <w:rsid w:val="00592413"/>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9241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24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266122">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1-2022/wp-13-general-annexes_horizon-2021-2022_en.pdf" TargetMode="External"/><Relationship Id="rId3" Type="http://schemas.openxmlformats.org/officeDocument/2006/relationships/settings" Target="settings.xml"/><Relationship Id="rId7" Type="http://schemas.openxmlformats.org/officeDocument/2006/relationships/hyperlink" Target="file:///C:/Users/darja/Downloads/KI0421003ENN.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ge.europa.eu/gender-mainstreaming/toolkits/gear/what-gender-equality-plan-ge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935</Words>
  <Characters>5331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2021-06-10T13:45:00Z</dcterms:created>
  <dcterms:modified xsi:type="dcterms:W3CDTF">2021-06-10T20:27:00Z</dcterms:modified>
</cp:coreProperties>
</file>