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12" w:rsidRPr="00467345" w:rsidRDefault="007B2812" w:rsidP="007B281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812" w:rsidRPr="00083714" w:rsidRDefault="007B2812" w:rsidP="007B281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B2812" w:rsidRPr="00083714" w:rsidRDefault="007B2812" w:rsidP="007B2812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B2812" w:rsidRDefault="007B2812" w:rsidP="007B281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09 </w:t>
      </w:r>
      <w:r w:rsidRPr="00083714">
        <w:rPr>
          <w:b/>
        </w:rPr>
        <w:t>– 20</w:t>
      </w:r>
      <w:r>
        <w:rPr>
          <w:b/>
        </w:rPr>
        <w:t>22</w:t>
      </w:r>
    </w:p>
    <w:p w:rsidR="007B2812" w:rsidRPr="0084452F" w:rsidRDefault="007B2812" w:rsidP="007B281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17.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7B2812" w:rsidRDefault="007B2812" w:rsidP="007B281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za sofinanciranje storitev za zaščito intelektualne lastnine malih in srednjih podjetij</w:t>
      </w:r>
    </w:p>
    <w:p w:rsidR="006F6CCC" w:rsidRPr="00FC1805" w:rsidRDefault="006F6CCC" w:rsidP="00FC1805">
      <w:pPr>
        <w:jc w:val="both"/>
        <w:rPr>
          <w:rFonts w:ascii="Arial" w:hAnsi="Arial" w:cs="Arial"/>
          <w:b/>
          <w:i/>
        </w:rPr>
      </w:pPr>
      <w:r w:rsidRPr="00FC1805">
        <w:rPr>
          <w:rFonts w:ascii="Arial" w:hAnsi="Arial" w:cs="Arial"/>
          <w:b/>
          <w:i/>
        </w:rPr>
        <w:t xml:space="preserve">Urad Evropske unije za intelektualno lastnino (EUIPO) je objavil razpis za </w:t>
      </w:r>
      <w:r w:rsidR="00E302F5" w:rsidRPr="00FC1805">
        <w:rPr>
          <w:rFonts w:ascii="Arial" w:hAnsi="Arial" w:cs="Arial"/>
          <w:b/>
          <w:i/>
        </w:rPr>
        <w:t>mala in srednja</w:t>
      </w:r>
      <w:r w:rsidRPr="00FC1805">
        <w:rPr>
          <w:rFonts w:ascii="Arial" w:hAnsi="Arial" w:cs="Arial"/>
          <w:b/>
          <w:i/>
        </w:rPr>
        <w:t xml:space="preserve"> podjetja za sofinanciranje storitev v zvezi z zaščito intelektualne lastnine. Sredstva bo zagotavljal Sklad za mala in srednja podjetja (SME Fund). </w:t>
      </w:r>
      <w:r w:rsidR="0042598B" w:rsidRPr="00FC1805">
        <w:rPr>
          <w:rFonts w:ascii="Arial" w:hAnsi="Arial" w:cs="Arial"/>
          <w:b/>
          <w:i/>
        </w:rPr>
        <w:t xml:space="preserve">Podrobnejše informacije </w:t>
      </w:r>
      <w:r w:rsidR="00E302F5" w:rsidRPr="00FC1805">
        <w:rPr>
          <w:rFonts w:ascii="Arial" w:hAnsi="Arial" w:cs="Arial"/>
          <w:b/>
          <w:i/>
        </w:rPr>
        <w:t xml:space="preserve">bo od strokovnjakov, ki upravljajo sklad, </w:t>
      </w:r>
      <w:r w:rsidR="0042598B" w:rsidRPr="00FC1805">
        <w:rPr>
          <w:rFonts w:ascii="Arial" w:hAnsi="Arial" w:cs="Arial"/>
          <w:b/>
          <w:i/>
        </w:rPr>
        <w:t xml:space="preserve">mogoče dobiti na dnevih industrije EU med 8. in 11. februarjem. </w:t>
      </w:r>
      <w:r w:rsidR="00E302F5" w:rsidRPr="00FC1805">
        <w:rPr>
          <w:rFonts w:ascii="Arial" w:hAnsi="Arial" w:cs="Arial"/>
          <w:b/>
          <w:i/>
        </w:rPr>
        <w:t xml:space="preserve">Posebna seja na to temo bo 11. februarja 2022, </w:t>
      </w:r>
      <w:r w:rsidR="00FC1805">
        <w:rPr>
          <w:rFonts w:ascii="Arial" w:hAnsi="Arial" w:cs="Arial"/>
          <w:b/>
          <w:i/>
        </w:rPr>
        <w:t xml:space="preserve">ob prijavi </w:t>
      </w:r>
      <w:r w:rsidR="00BF140F">
        <w:rPr>
          <w:rFonts w:ascii="Arial" w:hAnsi="Arial" w:cs="Arial"/>
          <w:b/>
          <w:i/>
        </w:rPr>
        <w:t xml:space="preserve">udeležbe na dnevih </w:t>
      </w:r>
      <w:r w:rsidR="00FC1805">
        <w:rPr>
          <w:rFonts w:ascii="Arial" w:hAnsi="Arial" w:cs="Arial"/>
          <w:b/>
          <w:i/>
        </w:rPr>
        <w:t xml:space="preserve">jo bo mogoče </w:t>
      </w:r>
      <w:r w:rsidR="00E302F5" w:rsidRPr="00FC1805">
        <w:rPr>
          <w:rFonts w:ascii="Arial" w:hAnsi="Arial" w:cs="Arial"/>
          <w:b/>
          <w:i/>
        </w:rPr>
        <w:t xml:space="preserve">spremljati na daljavo. </w:t>
      </w:r>
      <w:r w:rsidRPr="00FC1805">
        <w:rPr>
          <w:rFonts w:ascii="Arial" w:hAnsi="Arial" w:cs="Arial"/>
          <w:b/>
          <w:i/>
        </w:rPr>
        <w:t>Člani lahko dobijo več informacij</w:t>
      </w:r>
      <w:r w:rsidR="0042598B" w:rsidRPr="00FC1805">
        <w:rPr>
          <w:rFonts w:ascii="Arial" w:hAnsi="Arial" w:cs="Arial"/>
          <w:b/>
          <w:i/>
        </w:rPr>
        <w:t xml:space="preserve"> tako o razpisu kot o skladu</w:t>
      </w:r>
      <w:r w:rsidRPr="00FC1805">
        <w:rPr>
          <w:rFonts w:ascii="Arial" w:hAnsi="Arial" w:cs="Arial"/>
          <w:b/>
          <w:i/>
        </w:rPr>
        <w:t xml:space="preserve"> </w:t>
      </w:r>
      <w:r w:rsidR="0042598B" w:rsidRPr="00FC1805">
        <w:rPr>
          <w:rFonts w:ascii="Arial" w:hAnsi="Arial" w:cs="Arial"/>
          <w:b/>
          <w:i/>
        </w:rPr>
        <w:t xml:space="preserve">tudi </w:t>
      </w:r>
      <w:r w:rsidRPr="00FC1805">
        <w:rPr>
          <w:rFonts w:ascii="Arial" w:hAnsi="Arial" w:cs="Arial"/>
          <w:b/>
          <w:i/>
        </w:rPr>
        <w:t xml:space="preserve">na SBRA. </w:t>
      </w:r>
    </w:p>
    <w:p w:rsidR="006F6CCC" w:rsidRPr="00BF140F" w:rsidRDefault="0042598B" w:rsidP="00FC1805">
      <w:pPr>
        <w:jc w:val="both"/>
        <w:rPr>
          <w:rFonts w:ascii="Arial" w:hAnsi="Arial" w:cs="Arial"/>
          <w:b/>
          <w:sz w:val="20"/>
          <w:szCs w:val="20"/>
        </w:rPr>
      </w:pPr>
      <w:r w:rsidRPr="00BF140F">
        <w:rPr>
          <w:rFonts w:ascii="Arial" w:hAnsi="Arial" w:cs="Arial"/>
          <w:b/>
          <w:sz w:val="20"/>
          <w:szCs w:val="20"/>
        </w:rPr>
        <w:t>Tabela 1: Podpore, ki jih je mogoče dobiti iz Sklada za mala in srednja podjetja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42598B" w:rsidRPr="00FC1805" w:rsidTr="0042598B">
        <w:tc>
          <w:tcPr>
            <w:tcW w:w="4606" w:type="dxa"/>
          </w:tcPr>
          <w:p w:rsidR="0042598B" w:rsidRPr="00BF140F" w:rsidRDefault="0042598B" w:rsidP="00FC1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>Povračilo za:</w:t>
            </w:r>
          </w:p>
        </w:tc>
        <w:tc>
          <w:tcPr>
            <w:tcW w:w="4606" w:type="dxa"/>
          </w:tcPr>
          <w:p w:rsidR="0042598B" w:rsidRPr="00BF140F" w:rsidRDefault="0042598B" w:rsidP="00FC1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 xml:space="preserve">Delež </w:t>
            </w:r>
            <w:r w:rsidR="00E302F5" w:rsidRPr="00BF140F">
              <w:rPr>
                <w:rFonts w:ascii="Arial" w:hAnsi="Arial" w:cs="Arial"/>
                <w:b/>
                <w:sz w:val="20"/>
                <w:szCs w:val="20"/>
              </w:rPr>
              <w:t>pristojbin</w:t>
            </w:r>
            <w:r w:rsidRPr="00BF140F">
              <w:rPr>
                <w:rFonts w:ascii="Arial" w:hAnsi="Arial" w:cs="Arial"/>
                <w:b/>
                <w:sz w:val="20"/>
                <w:szCs w:val="20"/>
              </w:rPr>
              <w:t xml:space="preserve"> za katerega je mogoče dobiti povračilo v %</w:t>
            </w:r>
          </w:p>
        </w:tc>
      </w:tr>
      <w:tr w:rsidR="0042598B" w:rsidRPr="00FC1805" w:rsidTr="0042598B">
        <w:tc>
          <w:tcPr>
            <w:tcW w:w="4606" w:type="dxa"/>
          </w:tcPr>
          <w:p w:rsidR="0042598B" w:rsidRPr="00FC1805" w:rsidRDefault="0042598B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 xml:space="preserve">storitve predhodnega pregleda intelektualne lastnine (IP </w:t>
            </w:r>
            <w:proofErr w:type="spellStart"/>
            <w:r w:rsidRPr="00FC1805">
              <w:rPr>
                <w:rFonts w:ascii="Arial" w:hAnsi="Arial" w:cs="Arial"/>
                <w:sz w:val="20"/>
                <w:szCs w:val="20"/>
              </w:rPr>
              <w:t>Scan</w:t>
            </w:r>
            <w:proofErr w:type="spellEnd"/>
            <w:r w:rsidRPr="00FC18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:rsidR="0042598B" w:rsidRPr="00FC1805" w:rsidRDefault="0042598B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>90 %</w:t>
            </w:r>
            <w:r w:rsidRPr="00FC1805">
              <w:rPr>
                <w:rFonts w:ascii="Arial" w:hAnsi="Arial" w:cs="Arial"/>
                <w:sz w:val="20"/>
                <w:szCs w:val="20"/>
              </w:rPr>
              <w:t xml:space="preserve"> pristojbin, ki jih zaračunajo države članice </w:t>
            </w:r>
          </w:p>
        </w:tc>
      </w:tr>
      <w:tr w:rsidR="0042598B" w:rsidRPr="00FC1805" w:rsidTr="0042598B">
        <w:tc>
          <w:tcPr>
            <w:tcW w:w="4606" w:type="dxa"/>
          </w:tcPr>
          <w:p w:rsidR="0042598B" w:rsidRPr="00FC1805" w:rsidRDefault="0042598B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>registracijo blagovnih znamk in modelov</w:t>
            </w:r>
          </w:p>
        </w:tc>
        <w:tc>
          <w:tcPr>
            <w:tcW w:w="4606" w:type="dxa"/>
          </w:tcPr>
          <w:p w:rsidR="0042598B" w:rsidRPr="00FC1805" w:rsidRDefault="0042598B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>75 %</w:t>
            </w:r>
            <w:r w:rsidRPr="00FC1805">
              <w:rPr>
                <w:rFonts w:ascii="Arial" w:hAnsi="Arial" w:cs="Arial"/>
                <w:sz w:val="20"/>
                <w:szCs w:val="20"/>
              </w:rPr>
              <w:t xml:space="preserve"> pristojbin, ki jih zaračunajo uradi za intelektualno lastnino (vključno z nacionalnimi uradi za intelektualno lastnino, Uradom Evropske unije za intelektualno lastnino in Uradom Beneluksa za intelektualno lastnino)</w:t>
            </w:r>
          </w:p>
        </w:tc>
      </w:tr>
      <w:tr w:rsidR="0042598B" w:rsidRPr="00FC1805" w:rsidTr="0042598B"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>pridobitev mednarodne zaščite blagovnih znamk in modelov</w:t>
            </w:r>
          </w:p>
        </w:tc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>50 %</w:t>
            </w:r>
            <w:r w:rsidRPr="00FC1805">
              <w:rPr>
                <w:rFonts w:ascii="Arial" w:hAnsi="Arial" w:cs="Arial"/>
                <w:sz w:val="20"/>
                <w:szCs w:val="20"/>
              </w:rPr>
              <w:t xml:space="preserve"> pristojbin, ki jih zaračuna Svetovna organizacija za intelektualno lastnino</w:t>
            </w:r>
          </w:p>
        </w:tc>
      </w:tr>
      <w:tr w:rsidR="0042598B" w:rsidRPr="00FC1805" w:rsidTr="0042598B"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>registracijo patentov v letu 2022</w:t>
            </w:r>
          </w:p>
        </w:tc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40F">
              <w:rPr>
                <w:rFonts w:ascii="Arial" w:hAnsi="Arial" w:cs="Arial"/>
                <w:b/>
                <w:sz w:val="20"/>
                <w:szCs w:val="20"/>
              </w:rPr>
              <w:t>50 %</w:t>
            </w:r>
            <w:r w:rsidRPr="00FC1805">
              <w:rPr>
                <w:rFonts w:ascii="Arial" w:hAnsi="Arial" w:cs="Arial"/>
                <w:sz w:val="20"/>
                <w:szCs w:val="20"/>
              </w:rPr>
              <w:t xml:space="preserve"> pristojbin, ki jih zaračunajo nacionalni patentni uradi</w:t>
            </w:r>
          </w:p>
        </w:tc>
      </w:tr>
      <w:tr w:rsidR="0042598B" w:rsidRPr="00FC1805" w:rsidTr="0042598B"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>morebitne dodatne storitve od leta 2023</w:t>
            </w:r>
          </w:p>
        </w:tc>
        <w:tc>
          <w:tcPr>
            <w:tcW w:w="4606" w:type="dxa"/>
          </w:tcPr>
          <w:p w:rsidR="0042598B" w:rsidRPr="00FC1805" w:rsidRDefault="00E302F5" w:rsidP="00FC1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05">
              <w:rPr>
                <w:rFonts w:ascii="Arial" w:hAnsi="Arial" w:cs="Arial"/>
                <w:sz w:val="20"/>
                <w:szCs w:val="20"/>
              </w:rPr>
              <w:t>delno povračilo stroškov poizvedbe o stanju tehnike patenta in patentne prijave; zasebno svetovanje o intelektualni lastnini, ki ga zaračunajo odvetniki za intelektualno lastnino (za registracijo patentov, licenčne pogodbe, vrednotenje intelektualne lastnine, stroške alternativnega reševanja sporov itd.)</w:t>
            </w:r>
          </w:p>
        </w:tc>
      </w:tr>
    </w:tbl>
    <w:p w:rsidR="0042598B" w:rsidRPr="00FC1805" w:rsidRDefault="00E302F5" w:rsidP="00FC1805">
      <w:pPr>
        <w:jc w:val="both"/>
        <w:rPr>
          <w:rFonts w:ascii="Arial" w:hAnsi="Arial" w:cs="Arial"/>
          <w:sz w:val="20"/>
          <w:szCs w:val="20"/>
        </w:rPr>
      </w:pPr>
      <w:r w:rsidRPr="00FC1805">
        <w:rPr>
          <w:rFonts w:ascii="Arial" w:hAnsi="Arial" w:cs="Arial"/>
          <w:sz w:val="20"/>
          <w:szCs w:val="20"/>
        </w:rPr>
        <w:t>Vir: Evropska komisija</w:t>
      </w:r>
    </w:p>
    <w:p w:rsidR="006F6CCC" w:rsidRPr="00FC1805" w:rsidRDefault="006F6CCC" w:rsidP="00FC1805">
      <w:pPr>
        <w:jc w:val="both"/>
        <w:rPr>
          <w:rFonts w:ascii="Arial" w:hAnsi="Arial" w:cs="Arial"/>
          <w:sz w:val="20"/>
          <w:szCs w:val="20"/>
        </w:rPr>
      </w:pPr>
      <w:r w:rsidRPr="00FC1805">
        <w:rPr>
          <w:rFonts w:ascii="Arial" w:hAnsi="Arial" w:cs="Arial"/>
          <w:sz w:val="20"/>
          <w:szCs w:val="20"/>
        </w:rPr>
        <w:t xml:space="preserve">Sklad bo razpolagal s proračunom v višini 47 milijonov evrov. Gre za drugi sklad EU, ki bo malim in srednjim podjetjem podpiral pri okrevanju po pandemiji </w:t>
      </w:r>
      <w:proofErr w:type="spellStart"/>
      <w:r w:rsidRPr="00FC1805">
        <w:rPr>
          <w:rFonts w:ascii="Arial" w:hAnsi="Arial" w:cs="Arial"/>
          <w:sz w:val="20"/>
          <w:szCs w:val="20"/>
        </w:rPr>
        <w:t>covida</w:t>
      </w:r>
      <w:proofErr w:type="spellEnd"/>
      <w:r w:rsidRPr="00FC1805">
        <w:rPr>
          <w:rFonts w:ascii="Arial" w:hAnsi="Arial" w:cs="Arial"/>
          <w:sz w:val="20"/>
          <w:szCs w:val="20"/>
        </w:rPr>
        <w:t>-19 ter zelenem in digitalnem prehodu v naslednjih treh letih (2022–2024). Sredstva bodo tudi v prihodnje razdeljevali na podlagi razpisov.</w:t>
      </w:r>
    </w:p>
    <w:p w:rsidR="008C1C85" w:rsidRPr="00BF140F" w:rsidRDefault="00E302F5" w:rsidP="00FC1805">
      <w:pPr>
        <w:jc w:val="both"/>
        <w:rPr>
          <w:rFonts w:ascii="Arial" w:hAnsi="Arial" w:cs="Arial"/>
          <w:b/>
          <w:sz w:val="20"/>
          <w:szCs w:val="20"/>
        </w:rPr>
      </w:pPr>
      <w:r w:rsidRPr="00BF140F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E302F5" w:rsidRPr="00BF140F" w:rsidRDefault="00E302F5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140F">
        <w:rPr>
          <w:rFonts w:ascii="Arial" w:hAnsi="Arial" w:cs="Arial"/>
          <w:sz w:val="20"/>
          <w:szCs w:val="20"/>
        </w:rPr>
        <w:t>Razpis:</w:t>
      </w:r>
    </w:p>
    <w:p w:rsidR="00E302F5" w:rsidRPr="00BF140F" w:rsidRDefault="001359BF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E302F5" w:rsidRPr="00BF140F">
          <w:rPr>
            <w:rStyle w:val="Hiperpovezava"/>
            <w:rFonts w:ascii="Arial" w:hAnsi="Arial" w:cs="Arial"/>
            <w:sz w:val="20"/>
            <w:szCs w:val="20"/>
          </w:rPr>
          <w:t>https://euipo.europa.eu/ohimportal/sl/grants-sme-fund-2022</w:t>
        </w:r>
      </w:hyperlink>
    </w:p>
    <w:p w:rsidR="00E302F5" w:rsidRPr="00BF140F" w:rsidRDefault="00E302F5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140F">
        <w:rPr>
          <w:rFonts w:ascii="Arial" w:hAnsi="Arial" w:cs="Arial"/>
          <w:sz w:val="20"/>
          <w:szCs w:val="20"/>
        </w:rPr>
        <w:t>Dnevi industrije 2022:</w:t>
      </w:r>
    </w:p>
    <w:p w:rsidR="00E302F5" w:rsidRPr="00C3762C" w:rsidRDefault="001359BF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E302F5" w:rsidRPr="00BF140F">
          <w:rPr>
            <w:rStyle w:val="Hiperpovezava"/>
            <w:rFonts w:ascii="Arial" w:hAnsi="Arial" w:cs="Arial"/>
            <w:sz w:val="20"/>
            <w:szCs w:val="20"/>
          </w:rPr>
          <w:t>https://ec.europa.eu/info/policies/business-and-industry/eu-industry-days_sl</w:t>
        </w:r>
      </w:hyperlink>
    </w:p>
    <w:p w:rsidR="00C3762C" w:rsidRPr="00C3762C" w:rsidRDefault="00C3762C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t>Spletna stran sklada:</w:t>
      </w:r>
    </w:p>
    <w:p w:rsidR="00C3762C" w:rsidRPr="00BF140F" w:rsidRDefault="00C3762C" w:rsidP="00BF140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B7CE7">
          <w:rPr>
            <w:rStyle w:val="Hiperpovezava"/>
            <w:rFonts w:ascii="Arial" w:hAnsi="Arial" w:cs="Arial"/>
            <w:sz w:val="20"/>
            <w:szCs w:val="20"/>
          </w:rPr>
          <w:t>https://euipo.europa.eu/ohimportal/sl/online-services/sme-fund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302F5" w:rsidRPr="00FC1805" w:rsidRDefault="00E302F5" w:rsidP="00BF14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C1805">
        <w:rPr>
          <w:rFonts w:ascii="Arial" w:hAnsi="Arial" w:cs="Arial"/>
          <w:sz w:val="20"/>
          <w:szCs w:val="20"/>
        </w:rPr>
        <w:t>Pripravila:</w:t>
      </w:r>
    </w:p>
    <w:p w:rsidR="00E302F5" w:rsidRPr="00FC1805" w:rsidRDefault="00E302F5" w:rsidP="00BF14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C1805">
        <w:rPr>
          <w:rFonts w:ascii="Arial" w:hAnsi="Arial" w:cs="Arial"/>
          <w:sz w:val="20"/>
          <w:szCs w:val="20"/>
        </w:rPr>
        <w:t>Darja Kocbek</w:t>
      </w:r>
    </w:p>
    <w:sectPr w:rsidR="00E302F5" w:rsidRPr="00FC1805" w:rsidSect="008C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55B"/>
    <w:multiLevelType w:val="hybridMultilevel"/>
    <w:tmpl w:val="DEC266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6CCC"/>
    <w:rsid w:val="001359BF"/>
    <w:rsid w:val="0042598B"/>
    <w:rsid w:val="006C1692"/>
    <w:rsid w:val="006F6CCC"/>
    <w:rsid w:val="007B2812"/>
    <w:rsid w:val="008C1C85"/>
    <w:rsid w:val="00BF140F"/>
    <w:rsid w:val="00C3762C"/>
    <w:rsid w:val="00E302F5"/>
    <w:rsid w:val="00FC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1C8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2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5804898643msonormal">
    <w:name w:val="yiv5804898643msonormal"/>
    <w:basedOn w:val="Navaden"/>
    <w:rsid w:val="006F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F6CCC"/>
    <w:rPr>
      <w:color w:val="0000FF"/>
      <w:u w:val="single"/>
    </w:rPr>
  </w:style>
  <w:style w:type="table" w:styleId="Tabela-mrea">
    <w:name w:val="Table Grid"/>
    <w:basedOn w:val="Navadnatabela"/>
    <w:uiPriority w:val="59"/>
    <w:rsid w:val="0042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42598B"/>
    <w:rPr>
      <w:b/>
      <w:bCs/>
    </w:rPr>
  </w:style>
  <w:style w:type="paragraph" w:styleId="Odstavekseznama">
    <w:name w:val="List Paragraph"/>
    <w:basedOn w:val="Navaden"/>
    <w:uiPriority w:val="34"/>
    <w:qFormat/>
    <w:rsid w:val="00BF140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B2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ipo.europa.eu/ohimportal/sl/online-services/sme-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policies/business-and-industry/eu-industry-day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ipo.europa.eu/ohimportal/sl/grants-sme-fund-202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2022-01-11T11:59:00Z</dcterms:created>
  <dcterms:modified xsi:type="dcterms:W3CDTF">2022-01-11T12:44:00Z</dcterms:modified>
</cp:coreProperties>
</file>