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27D4" w:rsidRPr="00083714" w:rsidRDefault="00BA27D4" w:rsidP="00BA27D4">
      <w:pPr>
        <w:tabs>
          <w:tab w:val="left" w:pos="2520"/>
          <w:tab w:val="left" w:pos="2700"/>
          <w:tab w:val="left" w:pos="3120"/>
        </w:tabs>
        <w:jc w:val="center"/>
      </w:pPr>
      <w:r w:rsidRPr="00083714">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BA27D4" w:rsidRPr="00083714" w:rsidRDefault="00BA27D4" w:rsidP="00BA27D4">
      <w:pPr>
        <w:pStyle w:val="Naslov2"/>
        <w:tabs>
          <w:tab w:val="left" w:pos="3120"/>
        </w:tabs>
        <w:spacing w:before="0"/>
        <w:jc w:val="center"/>
        <w:rPr>
          <w:sz w:val="22"/>
        </w:rPr>
      </w:pPr>
    </w:p>
    <w:p w:rsidR="00BA27D4" w:rsidRPr="00083714" w:rsidRDefault="00BA27D4" w:rsidP="00BA27D4">
      <w:pPr>
        <w:pStyle w:val="Naslov2"/>
        <w:tabs>
          <w:tab w:val="left" w:pos="3120"/>
        </w:tabs>
        <w:spacing w:before="0"/>
        <w:jc w:val="center"/>
        <w:rPr>
          <w:b w:val="0"/>
          <w:bCs w:val="0"/>
          <w:i/>
          <w:iCs/>
          <w:sz w:val="22"/>
        </w:rPr>
      </w:pPr>
      <w:r w:rsidRPr="00083714">
        <w:rPr>
          <w:sz w:val="22"/>
        </w:rPr>
        <w:t>Slovensko gospodarsko in raziskovalno združenje, Bruselj</w:t>
      </w:r>
    </w:p>
    <w:p w:rsidR="00BA27D4" w:rsidRPr="00083714" w:rsidRDefault="00BA27D4" w:rsidP="00BA27D4">
      <w:pPr>
        <w:pBdr>
          <w:bottom w:val="single" w:sz="6" w:space="1" w:color="auto"/>
        </w:pBdr>
        <w:tabs>
          <w:tab w:val="left" w:pos="3120"/>
        </w:tabs>
        <w:jc w:val="center"/>
        <w:rPr>
          <w:sz w:val="16"/>
          <w:szCs w:val="16"/>
        </w:rPr>
      </w:pPr>
    </w:p>
    <w:p w:rsidR="00BA27D4" w:rsidRPr="00083714" w:rsidRDefault="00BA27D4" w:rsidP="00BA27D4">
      <w:pPr>
        <w:tabs>
          <w:tab w:val="left" w:pos="3120"/>
        </w:tabs>
        <w:rPr>
          <w:b/>
        </w:rPr>
      </w:pPr>
      <w:r w:rsidRPr="00083714">
        <w:rPr>
          <w:b/>
        </w:rPr>
        <w:tab/>
      </w:r>
      <w:r>
        <w:rPr>
          <w:b/>
        </w:rPr>
        <w:t>Občasna informacija članom 08</w:t>
      </w:r>
      <w:r w:rsidRPr="00083714">
        <w:rPr>
          <w:b/>
        </w:rPr>
        <w:t xml:space="preserve"> – 20</w:t>
      </w:r>
      <w:r>
        <w:rPr>
          <w:b/>
        </w:rPr>
        <w:t>20</w:t>
      </w:r>
    </w:p>
    <w:p w:rsidR="00BA27D4" w:rsidRPr="00083714" w:rsidRDefault="00BA27D4" w:rsidP="00BA27D4">
      <w:pPr>
        <w:tabs>
          <w:tab w:val="left" w:pos="3120"/>
        </w:tabs>
        <w:jc w:val="center"/>
        <w:rPr>
          <w:b/>
        </w:rPr>
      </w:pPr>
      <w:r>
        <w:rPr>
          <w:b/>
        </w:rPr>
        <w:t>20</w:t>
      </w:r>
      <w:r w:rsidRPr="00083714">
        <w:rPr>
          <w:b/>
        </w:rPr>
        <w:t xml:space="preserve">. </w:t>
      </w:r>
      <w:r>
        <w:rPr>
          <w:b/>
        </w:rPr>
        <w:t>januar</w:t>
      </w:r>
      <w:r w:rsidRPr="00083714">
        <w:rPr>
          <w:b/>
        </w:rPr>
        <w:t xml:space="preserve"> 20</w:t>
      </w:r>
      <w:r>
        <w:rPr>
          <w:b/>
        </w:rPr>
        <w:t>20</w:t>
      </w:r>
    </w:p>
    <w:p w:rsidR="00EA36E9" w:rsidRDefault="00BA27D4" w:rsidP="00BA27D4">
      <w:pPr>
        <w:jc w:val="center"/>
        <w:rPr>
          <w:rFonts w:ascii="Arial" w:hAnsi="Arial" w:cs="Arial"/>
          <w:b/>
          <w:i/>
        </w:rPr>
      </w:pPr>
      <w:r>
        <w:rPr>
          <w:b/>
          <w:color w:val="993300"/>
          <w:sz w:val="32"/>
          <w:szCs w:val="32"/>
        </w:rPr>
        <w:t>Naložbeni načrt za evropski zeleni dogovor ima tri glavne cilje</w:t>
      </w:r>
    </w:p>
    <w:p w:rsidR="00CD3AC6" w:rsidRPr="008F7723" w:rsidRDefault="00CD3AC6" w:rsidP="008F7723">
      <w:pPr>
        <w:jc w:val="both"/>
        <w:rPr>
          <w:rFonts w:ascii="Arial" w:hAnsi="Arial" w:cs="Arial"/>
          <w:b/>
          <w:i/>
        </w:rPr>
      </w:pPr>
      <w:r w:rsidRPr="008F7723">
        <w:rPr>
          <w:rFonts w:ascii="Arial" w:hAnsi="Arial" w:cs="Arial"/>
          <w:b/>
          <w:i/>
        </w:rPr>
        <w:t xml:space="preserve">Evropska komisija je predstavila </w:t>
      </w:r>
      <w:r w:rsidR="00745C0C" w:rsidRPr="008F7723">
        <w:rPr>
          <w:rFonts w:ascii="Arial" w:hAnsi="Arial" w:cs="Arial"/>
          <w:b/>
          <w:i/>
        </w:rPr>
        <w:t>naložbeni načrt za evropski zeleni dogovor</w:t>
      </w:r>
      <w:r w:rsidRPr="008F7723">
        <w:rPr>
          <w:rFonts w:ascii="Arial" w:hAnsi="Arial" w:cs="Arial"/>
          <w:b/>
          <w:i/>
        </w:rPr>
        <w:t xml:space="preserve">, ki ima tri glavne cilje. Prvi je prek proračuna EU in povezanih instrumentov, zlasti </w:t>
      </w:r>
      <w:proofErr w:type="spellStart"/>
      <w:r w:rsidRPr="008F7723">
        <w:rPr>
          <w:rFonts w:ascii="Arial" w:hAnsi="Arial" w:cs="Arial"/>
          <w:b/>
          <w:i/>
        </w:rPr>
        <w:t>InvestEU</w:t>
      </w:r>
      <w:proofErr w:type="spellEnd"/>
      <w:r w:rsidRPr="008F7723">
        <w:rPr>
          <w:rFonts w:ascii="Arial" w:hAnsi="Arial" w:cs="Arial"/>
          <w:b/>
          <w:i/>
        </w:rPr>
        <w:t>, povečati financiranje za prehod in mobilizirati najmanj 1 000 milijard evrov za podporo trajnostnim naložbam v naslednjem desetletju. Drugi je ustvariti okvir, ki bo zasebnim vlagateljem in javnemu sektorju omogočal enostavnejše vlaganje v trajnostne projekte. Tretji cilj je javnim upravam in nosilcem projektov zagotoviti podporo pri določanju, strukturiranju in izvajanju trajnostnih projektov. Člani lahko podrobnejše informacije dobijo na SBRA.</w:t>
      </w:r>
    </w:p>
    <w:p w:rsidR="00CD3AC6" w:rsidRPr="008F7723" w:rsidRDefault="00CD3AC6" w:rsidP="008F7723">
      <w:pPr>
        <w:jc w:val="both"/>
        <w:rPr>
          <w:rFonts w:ascii="Arial" w:hAnsi="Arial" w:cs="Arial"/>
          <w:b/>
          <w:sz w:val="20"/>
          <w:szCs w:val="20"/>
        </w:rPr>
      </w:pPr>
      <w:r w:rsidRPr="008F7723">
        <w:rPr>
          <w:rFonts w:ascii="Arial" w:hAnsi="Arial" w:cs="Arial"/>
          <w:b/>
          <w:sz w:val="20"/>
          <w:szCs w:val="20"/>
        </w:rPr>
        <w:t>Shema 1: Predvideno financiranje načrta za evropski zeleni dogovor</w:t>
      </w:r>
    </w:p>
    <w:p w:rsidR="00CD3AC6" w:rsidRPr="008F7723" w:rsidRDefault="00CD3AC6" w:rsidP="008F7723">
      <w:pPr>
        <w:jc w:val="both"/>
        <w:rPr>
          <w:rFonts w:ascii="Arial" w:hAnsi="Arial" w:cs="Arial"/>
          <w:sz w:val="20"/>
          <w:szCs w:val="20"/>
        </w:rPr>
      </w:pPr>
      <w:r w:rsidRPr="008F7723">
        <w:rPr>
          <w:rFonts w:ascii="Arial" w:hAnsi="Arial" w:cs="Arial"/>
          <w:sz w:val="20"/>
          <w:szCs w:val="20"/>
        </w:rPr>
        <w:drawing>
          <wp:inline distT="0" distB="0" distL="0" distR="0">
            <wp:extent cx="4933950" cy="3629572"/>
            <wp:effectExtent l="19050" t="0" r="0" b="0"/>
            <wp:docPr id="1" name="Slika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6" cstate="print"/>
                    <a:srcRect/>
                    <a:stretch>
                      <a:fillRect/>
                    </a:stretch>
                  </pic:blipFill>
                  <pic:spPr bwMode="auto">
                    <a:xfrm>
                      <a:off x="0" y="0"/>
                      <a:ext cx="4936620" cy="3631536"/>
                    </a:xfrm>
                    <a:prstGeom prst="rect">
                      <a:avLst/>
                    </a:prstGeom>
                    <a:noFill/>
                    <a:ln w="9525">
                      <a:noFill/>
                      <a:miter lim="800000"/>
                      <a:headEnd/>
                      <a:tailEnd/>
                    </a:ln>
                  </pic:spPr>
                </pic:pic>
              </a:graphicData>
            </a:graphic>
          </wp:inline>
        </w:drawing>
      </w:r>
    </w:p>
    <w:p w:rsidR="00EA486A" w:rsidRPr="008F7723" w:rsidRDefault="00CD3AC6" w:rsidP="008F7723">
      <w:pPr>
        <w:jc w:val="both"/>
        <w:rPr>
          <w:rFonts w:ascii="Arial" w:hAnsi="Arial" w:cs="Arial"/>
          <w:sz w:val="20"/>
          <w:szCs w:val="20"/>
        </w:rPr>
      </w:pPr>
      <w:r w:rsidRPr="008F7723">
        <w:rPr>
          <w:rFonts w:ascii="Arial" w:hAnsi="Arial" w:cs="Arial"/>
          <w:sz w:val="20"/>
          <w:szCs w:val="20"/>
        </w:rPr>
        <w:t>Vir: Evropska komisija</w:t>
      </w:r>
    </w:p>
    <w:p w:rsidR="001B43E3" w:rsidRPr="008F7723" w:rsidRDefault="00EA486A" w:rsidP="008F7723">
      <w:pPr>
        <w:jc w:val="both"/>
        <w:rPr>
          <w:rFonts w:ascii="Arial" w:hAnsi="Arial" w:cs="Arial"/>
          <w:sz w:val="20"/>
          <w:szCs w:val="20"/>
        </w:rPr>
      </w:pPr>
      <w:r w:rsidRPr="008F7723">
        <w:rPr>
          <w:rFonts w:ascii="Arial" w:hAnsi="Arial" w:cs="Arial"/>
          <w:sz w:val="20"/>
          <w:szCs w:val="20"/>
        </w:rPr>
        <w:lastRenderedPageBreak/>
        <w:t xml:space="preserve">Ključno orodje </w:t>
      </w:r>
      <w:r w:rsidR="00CD3AC6" w:rsidRPr="008F7723">
        <w:rPr>
          <w:rFonts w:ascii="Arial" w:hAnsi="Arial" w:cs="Arial"/>
          <w:sz w:val="20"/>
          <w:szCs w:val="20"/>
        </w:rPr>
        <w:t xml:space="preserve"> </w:t>
      </w:r>
      <w:r w:rsidRPr="008F7723">
        <w:rPr>
          <w:rFonts w:ascii="Arial" w:hAnsi="Arial" w:cs="Arial"/>
          <w:sz w:val="20"/>
          <w:szCs w:val="20"/>
        </w:rPr>
        <w:t xml:space="preserve">načrta je mehanizem za pravičen prehod, ki naj bi bil posebej osredotočen na regije, ki jih bo prehod najbolj prizadel. Financiral se bo iz treh stebrov. Sklad za pravičen prehod bo zagotavljal predvsem nepovratna sredstva za regije s številnimi zaposlenimi v sektorju proizvodnje premoga, lignita, naftnega skrilavca in šote, oziroma regijam z industrijo, ki proizvaja veliko toplogrednih plinov. </w:t>
      </w:r>
    </w:p>
    <w:p w:rsidR="00EA486A" w:rsidRPr="008F7723" w:rsidRDefault="00EA486A" w:rsidP="008F7723">
      <w:pPr>
        <w:jc w:val="both"/>
        <w:rPr>
          <w:rFonts w:ascii="Arial" w:hAnsi="Arial" w:cs="Arial"/>
          <w:sz w:val="20"/>
          <w:szCs w:val="20"/>
        </w:rPr>
      </w:pPr>
      <w:r w:rsidRPr="008F7723">
        <w:rPr>
          <w:rFonts w:ascii="Arial" w:hAnsi="Arial" w:cs="Arial"/>
          <w:sz w:val="20"/>
          <w:szCs w:val="20"/>
        </w:rPr>
        <w:t xml:space="preserve">Namenski program za pravičen prehod v okviru </w:t>
      </w:r>
      <w:proofErr w:type="spellStart"/>
      <w:r w:rsidRPr="008F7723">
        <w:rPr>
          <w:rFonts w:ascii="Arial" w:hAnsi="Arial" w:cs="Arial"/>
          <w:sz w:val="20"/>
          <w:szCs w:val="20"/>
        </w:rPr>
        <w:t>InvestEU</w:t>
      </w:r>
      <w:proofErr w:type="spellEnd"/>
      <w:r w:rsidRPr="008F7723">
        <w:rPr>
          <w:rFonts w:ascii="Arial" w:hAnsi="Arial" w:cs="Arial"/>
          <w:sz w:val="20"/>
          <w:szCs w:val="20"/>
        </w:rPr>
        <w:t xml:space="preserve"> za mobilizacijo naložb v višini do 45 milijard evrov naj bi privabljal zasebne naložbe, ki bodo koristile tem regijam in pomagale njihovim gospodarstvom pri iskanju novih virov rasti. To bi lahko na primer vključevalo projekte za </w:t>
      </w:r>
      <w:proofErr w:type="spellStart"/>
      <w:r w:rsidRPr="008F7723">
        <w:rPr>
          <w:rFonts w:ascii="Arial" w:hAnsi="Arial" w:cs="Arial"/>
          <w:sz w:val="20"/>
          <w:szCs w:val="20"/>
        </w:rPr>
        <w:t>razogljičenje</w:t>
      </w:r>
      <w:proofErr w:type="spellEnd"/>
      <w:r w:rsidRPr="008F7723">
        <w:rPr>
          <w:rFonts w:ascii="Arial" w:hAnsi="Arial" w:cs="Arial"/>
          <w:sz w:val="20"/>
          <w:szCs w:val="20"/>
        </w:rPr>
        <w:t xml:space="preserve">, gospodarsko </w:t>
      </w:r>
      <w:proofErr w:type="spellStart"/>
      <w:r w:rsidRPr="008F7723">
        <w:rPr>
          <w:rFonts w:ascii="Arial" w:hAnsi="Arial" w:cs="Arial"/>
          <w:sz w:val="20"/>
          <w:szCs w:val="20"/>
        </w:rPr>
        <w:t>diverzifikacijo</w:t>
      </w:r>
      <w:proofErr w:type="spellEnd"/>
      <w:r w:rsidRPr="008F7723">
        <w:rPr>
          <w:rFonts w:ascii="Arial" w:hAnsi="Arial" w:cs="Arial"/>
          <w:sz w:val="20"/>
          <w:szCs w:val="20"/>
        </w:rPr>
        <w:t xml:space="preserve"> regij, energetiko, promet in socialno infrastrukturo.</w:t>
      </w:r>
    </w:p>
    <w:p w:rsidR="00EA486A" w:rsidRPr="008F7723" w:rsidRDefault="00EA486A" w:rsidP="008F7723">
      <w:pPr>
        <w:jc w:val="both"/>
        <w:rPr>
          <w:rFonts w:ascii="Arial" w:hAnsi="Arial" w:cs="Arial"/>
          <w:sz w:val="20"/>
          <w:szCs w:val="20"/>
        </w:rPr>
      </w:pPr>
      <w:r w:rsidRPr="008F7723">
        <w:rPr>
          <w:rFonts w:ascii="Arial" w:hAnsi="Arial" w:cs="Arial"/>
          <w:sz w:val="20"/>
          <w:szCs w:val="20"/>
        </w:rPr>
        <w:t xml:space="preserve">Instrument za posojila v javnem sektorju, </w:t>
      </w:r>
      <w:r w:rsidR="007C38AA" w:rsidRPr="008F7723">
        <w:rPr>
          <w:rFonts w:ascii="Arial" w:hAnsi="Arial" w:cs="Arial"/>
          <w:sz w:val="20"/>
          <w:szCs w:val="20"/>
        </w:rPr>
        <w:t xml:space="preserve">ki bo </w:t>
      </w:r>
      <w:r w:rsidRPr="008F7723">
        <w:rPr>
          <w:rFonts w:ascii="Arial" w:hAnsi="Arial" w:cs="Arial"/>
          <w:sz w:val="20"/>
          <w:szCs w:val="20"/>
        </w:rPr>
        <w:t>vzpostavljen s strani Evropske investicijske banke in podprt s proračunom EU</w:t>
      </w:r>
      <w:r w:rsidR="007C38AA" w:rsidRPr="008F7723">
        <w:rPr>
          <w:rFonts w:ascii="Arial" w:hAnsi="Arial" w:cs="Arial"/>
          <w:sz w:val="20"/>
          <w:szCs w:val="20"/>
        </w:rPr>
        <w:t xml:space="preserve">, naj bi bil </w:t>
      </w:r>
      <w:r w:rsidRPr="008F7723">
        <w:rPr>
          <w:rFonts w:ascii="Arial" w:hAnsi="Arial" w:cs="Arial"/>
          <w:sz w:val="20"/>
          <w:szCs w:val="20"/>
        </w:rPr>
        <w:t xml:space="preserve">namenjen mobilizaciji naložb v višini 25 do 30 milijard evrov. Uporabljal </w:t>
      </w:r>
      <w:r w:rsidR="007C38AA" w:rsidRPr="008F7723">
        <w:rPr>
          <w:rFonts w:ascii="Arial" w:hAnsi="Arial" w:cs="Arial"/>
          <w:sz w:val="20"/>
          <w:szCs w:val="20"/>
        </w:rPr>
        <w:t>naj bi se</w:t>
      </w:r>
      <w:r w:rsidRPr="008F7723">
        <w:rPr>
          <w:rFonts w:ascii="Arial" w:hAnsi="Arial" w:cs="Arial"/>
          <w:sz w:val="20"/>
          <w:szCs w:val="20"/>
        </w:rPr>
        <w:t xml:space="preserve"> za ugodna posojila javnemu sektorju, na primer za naložbe v energetsko in prometno infrastrukturo, omrežja za daljinsko ogrevanje ter obnovo in izolacijo stavb. Instrument za posojila bo podprt s prispevkom iz proračuna EU v višini 1,5 milijarde evrov in posojili EIB v višini 10 milijard evrov, zagotovljenimi na lastno tveganje.</w:t>
      </w:r>
    </w:p>
    <w:p w:rsidR="007C38AA" w:rsidRPr="008F7723" w:rsidRDefault="007C38AA" w:rsidP="008F7723">
      <w:pPr>
        <w:jc w:val="both"/>
        <w:rPr>
          <w:rFonts w:ascii="Arial" w:hAnsi="Arial" w:cs="Arial"/>
          <w:b/>
          <w:sz w:val="20"/>
          <w:szCs w:val="20"/>
        </w:rPr>
      </w:pPr>
      <w:r w:rsidRPr="008F7723">
        <w:rPr>
          <w:rFonts w:ascii="Arial" w:hAnsi="Arial" w:cs="Arial"/>
          <w:b/>
          <w:sz w:val="20"/>
          <w:szCs w:val="20"/>
        </w:rPr>
        <w:t>Koristne informacije:</w:t>
      </w:r>
    </w:p>
    <w:p w:rsidR="007C38AA" w:rsidRPr="008F7723" w:rsidRDefault="007C38AA" w:rsidP="008F7723">
      <w:pPr>
        <w:pStyle w:val="Odstavekseznama"/>
        <w:numPr>
          <w:ilvl w:val="0"/>
          <w:numId w:val="1"/>
        </w:numPr>
        <w:jc w:val="both"/>
        <w:rPr>
          <w:rFonts w:ascii="Arial" w:hAnsi="Arial" w:cs="Arial"/>
          <w:sz w:val="20"/>
          <w:szCs w:val="20"/>
        </w:rPr>
      </w:pPr>
      <w:r w:rsidRPr="008F7723">
        <w:rPr>
          <w:rFonts w:ascii="Arial" w:hAnsi="Arial" w:cs="Arial"/>
          <w:sz w:val="20"/>
          <w:szCs w:val="20"/>
        </w:rPr>
        <w:t>Predstavitev naložbenega načrta:</w:t>
      </w:r>
    </w:p>
    <w:p w:rsidR="007C38AA" w:rsidRPr="008F7723" w:rsidRDefault="007C38AA" w:rsidP="008F7723">
      <w:pPr>
        <w:pStyle w:val="Odstavekseznama"/>
        <w:numPr>
          <w:ilvl w:val="0"/>
          <w:numId w:val="1"/>
        </w:numPr>
        <w:jc w:val="both"/>
        <w:rPr>
          <w:rFonts w:ascii="Arial" w:hAnsi="Arial" w:cs="Arial"/>
          <w:sz w:val="20"/>
          <w:szCs w:val="20"/>
        </w:rPr>
      </w:pPr>
      <w:hyperlink r:id="rId7" w:history="1">
        <w:r w:rsidRPr="008F7723">
          <w:rPr>
            <w:rStyle w:val="Hiperpovezava"/>
            <w:rFonts w:ascii="Arial" w:hAnsi="Arial" w:cs="Arial"/>
            <w:sz w:val="20"/>
            <w:szCs w:val="20"/>
          </w:rPr>
          <w:t>https://ec.europa.eu/commission/presscorner/detail/sl/qanda_20_24</w:t>
        </w:r>
      </w:hyperlink>
    </w:p>
    <w:p w:rsidR="007C38AA" w:rsidRPr="008F7723" w:rsidRDefault="007C38AA" w:rsidP="008F7723">
      <w:pPr>
        <w:pStyle w:val="Odstavekseznama"/>
        <w:numPr>
          <w:ilvl w:val="0"/>
          <w:numId w:val="1"/>
        </w:numPr>
        <w:jc w:val="both"/>
        <w:rPr>
          <w:rFonts w:ascii="Arial" w:hAnsi="Arial" w:cs="Arial"/>
          <w:sz w:val="20"/>
          <w:szCs w:val="20"/>
        </w:rPr>
      </w:pPr>
      <w:r w:rsidRPr="008F7723">
        <w:rPr>
          <w:rFonts w:ascii="Arial" w:hAnsi="Arial" w:cs="Arial"/>
          <w:sz w:val="20"/>
          <w:szCs w:val="20"/>
        </w:rPr>
        <w:t>Evropski zeleni dogovor:</w:t>
      </w:r>
    </w:p>
    <w:p w:rsidR="007C38AA" w:rsidRPr="008F7723" w:rsidRDefault="007C38AA" w:rsidP="008F7723">
      <w:pPr>
        <w:pStyle w:val="Odstavekseznama"/>
        <w:numPr>
          <w:ilvl w:val="0"/>
          <w:numId w:val="1"/>
        </w:numPr>
        <w:jc w:val="both"/>
        <w:rPr>
          <w:rFonts w:ascii="Arial" w:hAnsi="Arial" w:cs="Arial"/>
          <w:sz w:val="20"/>
          <w:szCs w:val="20"/>
        </w:rPr>
      </w:pPr>
      <w:hyperlink r:id="rId8" w:history="1">
        <w:r w:rsidRPr="008F7723">
          <w:rPr>
            <w:rStyle w:val="Hiperpovezava"/>
            <w:rFonts w:ascii="Arial" w:hAnsi="Arial" w:cs="Arial"/>
            <w:sz w:val="20"/>
            <w:szCs w:val="20"/>
          </w:rPr>
          <w:t>https://eur-lex.europa.eu/legal-content/SL/TXT/HTML/?uri=CELEX:52019DC0640&amp;from=EN</w:t>
        </w:r>
      </w:hyperlink>
    </w:p>
    <w:p w:rsidR="007C38AA" w:rsidRPr="008F7723" w:rsidRDefault="007C38AA" w:rsidP="008F7723">
      <w:pPr>
        <w:spacing w:after="0"/>
        <w:jc w:val="both"/>
        <w:rPr>
          <w:rFonts w:ascii="Arial" w:hAnsi="Arial" w:cs="Arial"/>
          <w:sz w:val="20"/>
          <w:szCs w:val="20"/>
        </w:rPr>
      </w:pPr>
      <w:r w:rsidRPr="008F7723">
        <w:rPr>
          <w:rFonts w:ascii="Arial" w:hAnsi="Arial" w:cs="Arial"/>
          <w:sz w:val="20"/>
          <w:szCs w:val="20"/>
        </w:rPr>
        <w:t>Pripravila:</w:t>
      </w:r>
    </w:p>
    <w:p w:rsidR="007C38AA" w:rsidRPr="008F7723" w:rsidRDefault="007C38AA" w:rsidP="008F7723">
      <w:pPr>
        <w:spacing w:after="0"/>
        <w:jc w:val="both"/>
        <w:rPr>
          <w:rFonts w:ascii="Arial" w:hAnsi="Arial" w:cs="Arial"/>
          <w:sz w:val="20"/>
          <w:szCs w:val="20"/>
        </w:rPr>
      </w:pPr>
      <w:r w:rsidRPr="008F7723">
        <w:rPr>
          <w:rFonts w:ascii="Arial" w:hAnsi="Arial" w:cs="Arial"/>
          <w:sz w:val="20"/>
          <w:szCs w:val="20"/>
        </w:rPr>
        <w:t>Darja Kocbek</w:t>
      </w:r>
    </w:p>
    <w:sectPr w:rsidR="007C38AA" w:rsidRPr="008F7723" w:rsidSect="001B43E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E082C"/>
    <w:multiLevelType w:val="hybridMultilevel"/>
    <w:tmpl w:val="751E6AF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45C0C"/>
    <w:rsid w:val="001B43E3"/>
    <w:rsid w:val="00745C0C"/>
    <w:rsid w:val="007C38AA"/>
    <w:rsid w:val="008F7723"/>
    <w:rsid w:val="00BA27D4"/>
    <w:rsid w:val="00CD3AC6"/>
    <w:rsid w:val="00EA36E9"/>
    <w:rsid w:val="00EA486A"/>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1B43E3"/>
  </w:style>
  <w:style w:type="paragraph" w:styleId="Naslov2">
    <w:name w:val="heading 2"/>
    <w:basedOn w:val="Navaden"/>
    <w:next w:val="Navaden"/>
    <w:link w:val="Naslov2Znak"/>
    <w:uiPriority w:val="9"/>
    <w:semiHidden/>
    <w:unhideWhenUsed/>
    <w:qFormat/>
    <w:rsid w:val="00BA27D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CD3AC6"/>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D3AC6"/>
    <w:rPr>
      <w:rFonts w:ascii="Tahoma" w:hAnsi="Tahoma" w:cs="Tahoma"/>
      <w:sz w:val="16"/>
      <w:szCs w:val="16"/>
    </w:rPr>
  </w:style>
  <w:style w:type="character" w:styleId="Krepko">
    <w:name w:val="Strong"/>
    <w:basedOn w:val="Privzetapisavaodstavka"/>
    <w:uiPriority w:val="22"/>
    <w:qFormat/>
    <w:rsid w:val="00EA486A"/>
    <w:rPr>
      <w:b/>
      <w:bCs/>
    </w:rPr>
  </w:style>
  <w:style w:type="character" w:styleId="Hiperpovezava">
    <w:name w:val="Hyperlink"/>
    <w:basedOn w:val="Privzetapisavaodstavka"/>
    <w:uiPriority w:val="99"/>
    <w:unhideWhenUsed/>
    <w:rsid w:val="007C38AA"/>
    <w:rPr>
      <w:color w:val="0000FF" w:themeColor="hyperlink"/>
      <w:u w:val="single"/>
    </w:rPr>
  </w:style>
  <w:style w:type="paragraph" w:styleId="Odstavekseznama">
    <w:name w:val="List Paragraph"/>
    <w:basedOn w:val="Navaden"/>
    <w:uiPriority w:val="34"/>
    <w:qFormat/>
    <w:rsid w:val="008F7723"/>
    <w:pPr>
      <w:ind w:left="720"/>
      <w:contextualSpacing/>
    </w:pPr>
  </w:style>
  <w:style w:type="character" w:customStyle="1" w:styleId="Naslov2Znak">
    <w:name w:val="Naslov 2 Znak"/>
    <w:basedOn w:val="Privzetapisavaodstavka"/>
    <w:link w:val="Naslov2"/>
    <w:uiPriority w:val="9"/>
    <w:semiHidden/>
    <w:rsid w:val="00BA27D4"/>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509100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SL/TXT/HTML/?uri=CELEX:52019DC0640&amp;from=EN" TargetMode="External"/><Relationship Id="rId3" Type="http://schemas.openxmlformats.org/officeDocument/2006/relationships/settings" Target="settings.xml"/><Relationship Id="rId7" Type="http://schemas.openxmlformats.org/officeDocument/2006/relationships/hyperlink" Target="https://ec.europa.eu/commission/presscorner/detail/sl/qanda_20_2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Pages>
  <Words>399</Words>
  <Characters>2277</Characters>
  <Application>Microsoft Office Word</Application>
  <DocSecurity>0</DocSecurity>
  <Lines>18</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5</cp:revision>
  <dcterms:created xsi:type="dcterms:W3CDTF">2020-01-14T19:29:00Z</dcterms:created>
  <dcterms:modified xsi:type="dcterms:W3CDTF">2020-01-14T20:20:00Z</dcterms:modified>
</cp:coreProperties>
</file>