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E9" w:rsidRPr="00D5331F" w:rsidRDefault="00960CE9" w:rsidP="00960CE9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CE9" w:rsidRPr="00C446CC" w:rsidRDefault="00960CE9" w:rsidP="00960CE9">
      <w:pPr>
        <w:pStyle w:val="Naslov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960CE9" w:rsidRPr="00C446CC" w:rsidRDefault="00960CE9" w:rsidP="00960CE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60CE9" w:rsidRPr="00C446CC" w:rsidRDefault="00960CE9" w:rsidP="00960CE9">
      <w:pPr>
        <w:tabs>
          <w:tab w:val="left" w:pos="3120"/>
        </w:tabs>
        <w:rPr>
          <w:b/>
        </w:rPr>
      </w:pPr>
      <w:r w:rsidRPr="00C446CC">
        <w:rPr>
          <w:b/>
        </w:rPr>
        <w:tab/>
      </w:r>
      <w:r>
        <w:rPr>
          <w:b/>
        </w:rPr>
        <w:t>Občasna informacija članom 06 – 2019</w:t>
      </w:r>
    </w:p>
    <w:p w:rsidR="00960CE9" w:rsidRPr="00AC5779" w:rsidRDefault="00960CE9" w:rsidP="00960CE9">
      <w:pPr>
        <w:tabs>
          <w:tab w:val="left" w:pos="3120"/>
        </w:tabs>
        <w:jc w:val="center"/>
        <w:rPr>
          <w:b/>
        </w:rPr>
      </w:pPr>
      <w:r>
        <w:rPr>
          <w:b/>
        </w:rPr>
        <w:t>14</w:t>
      </w:r>
      <w:r w:rsidRPr="00C446CC">
        <w:rPr>
          <w:b/>
        </w:rPr>
        <w:t xml:space="preserve">. </w:t>
      </w:r>
      <w:r>
        <w:rPr>
          <w:b/>
        </w:rPr>
        <w:t>januar 2019</w:t>
      </w:r>
    </w:p>
    <w:p w:rsidR="00960CE9" w:rsidRDefault="00960CE9" w:rsidP="00960CE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 veljavi so prvi štirje od osmih zakonodajnih aktov iz svežnja Čista energija za vse Evropejce</w:t>
      </w:r>
    </w:p>
    <w:p w:rsidR="00B459D4" w:rsidRPr="00A717A9" w:rsidRDefault="00896426" w:rsidP="00A717A9">
      <w:pPr>
        <w:rPr>
          <w:rFonts w:ascii="Arial" w:hAnsi="Arial" w:cs="Arial"/>
          <w:b/>
          <w:i/>
        </w:rPr>
      </w:pPr>
      <w:r w:rsidRPr="00A717A9">
        <w:rPr>
          <w:rFonts w:ascii="Arial" w:hAnsi="Arial" w:cs="Arial"/>
          <w:b/>
          <w:i/>
        </w:rPr>
        <w:t>Nova evropska direktiva o obnovljivih virih energije, nova direktiva o energetski učinkovitosti in uredba o upravljanju energetske unije in podnebnih ukrepov so stopile v veljavo z objavo v uradnem listu EU. Skupaj z direktivo o energetski učinkovitosti stavb, ki je bila objavljena sredi leta 2018, so tako v veljavi štir</w:t>
      </w:r>
      <w:r w:rsidR="00A717A9">
        <w:rPr>
          <w:rFonts w:ascii="Arial" w:hAnsi="Arial" w:cs="Arial"/>
          <w:b/>
          <w:i/>
        </w:rPr>
        <w:t>je od osmih zakonskih predpisov, ki jih je Evropska komisija povezala v sveženj Čista energija</w:t>
      </w:r>
      <w:r w:rsidRPr="00A717A9">
        <w:rPr>
          <w:rFonts w:ascii="Arial" w:hAnsi="Arial" w:cs="Arial"/>
          <w:b/>
          <w:i/>
        </w:rPr>
        <w:t xml:space="preserve"> za vse Evropejce. Člani lahko dobijo podrobnejše informacije o novih predpisih na SBRA.</w:t>
      </w:r>
    </w:p>
    <w:p w:rsidR="00C13EC1" w:rsidRPr="00A717A9" w:rsidRDefault="00896426" w:rsidP="00A717A9">
      <w:pPr>
        <w:rPr>
          <w:rFonts w:ascii="Arial" w:hAnsi="Arial" w:cs="Arial"/>
          <w:sz w:val="20"/>
          <w:szCs w:val="20"/>
        </w:rPr>
      </w:pPr>
      <w:r w:rsidRPr="00A717A9">
        <w:rPr>
          <w:rFonts w:ascii="Arial" w:hAnsi="Arial" w:cs="Arial"/>
          <w:sz w:val="20"/>
          <w:szCs w:val="20"/>
        </w:rPr>
        <w:t>Direktiva o obnovljivih virih energije predpis</w:t>
      </w:r>
      <w:r w:rsidR="00C13EC1" w:rsidRPr="00A717A9">
        <w:rPr>
          <w:rFonts w:ascii="Arial" w:hAnsi="Arial" w:cs="Arial"/>
          <w:sz w:val="20"/>
          <w:szCs w:val="20"/>
        </w:rPr>
        <w:t xml:space="preserve">uje zavezujoč cilj, da je treba na ravni EU do leta 2030 povečati delež obnovljivih virov energije na vsaj 32 odstotkov. Po podatkih Evropskega statističnega urada </w:t>
      </w:r>
      <w:proofErr w:type="spellStart"/>
      <w:r w:rsidR="00C13EC1" w:rsidRPr="00A717A9">
        <w:rPr>
          <w:rFonts w:ascii="Arial" w:hAnsi="Arial" w:cs="Arial"/>
          <w:sz w:val="20"/>
          <w:szCs w:val="20"/>
        </w:rPr>
        <w:t>Eurostat</w:t>
      </w:r>
      <w:proofErr w:type="spellEnd"/>
      <w:r w:rsidR="00C13EC1" w:rsidRPr="00A717A9">
        <w:rPr>
          <w:rFonts w:ascii="Arial" w:hAnsi="Arial" w:cs="Arial"/>
          <w:sz w:val="20"/>
          <w:szCs w:val="20"/>
        </w:rPr>
        <w:t xml:space="preserve"> se je delež energije iz obnovljivih virov v bruto končni porabi energije v zadnjih letih skoraj podvojil s približno 8,5 odstotka leta 2004 na 17 odstotkov leta 2016. V skladu z direktivo o obnovljivih virih energije iz leta 2009 je treba do leta 2020 na ravni EU ta delež povišati na 20 odstotkov. </w:t>
      </w:r>
    </w:p>
    <w:p w:rsidR="00C13EC1" w:rsidRPr="00A717A9" w:rsidRDefault="00C13EC1" w:rsidP="00A717A9">
      <w:pPr>
        <w:rPr>
          <w:rFonts w:ascii="Arial" w:hAnsi="Arial" w:cs="Arial"/>
          <w:sz w:val="20"/>
          <w:szCs w:val="20"/>
        </w:rPr>
      </w:pPr>
      <w:r w:rsidRPr="00A717A9">
        <w:rPr>
          <w:rFonts w:ascii="Arial" w:hAnsi="Arial" w:cs="Arial"/>
          <w:sz w:val="20"/>
          <w:szCs w:val="20"/>
        </w:rPr>
        <w:t xml:space="preserve">Direktiva o energetski učinkovitosti določa, da je treba do leta 2030 na ravni EU povečati energetsko učinkovitost na vsaj 32,5 odstotka. Direktiva o energetski učinkovitosti iz leta 2009 za obdobje do leta 2020 določa </w:t>
      </w:r>
      <w:proofErr w:type="spellStart"/>
      <w:r w:rsidRPr="00A717A9">
        <w:rPr>
          <w:rFonts w:ascii="Arial" w:hAnsi="Arial" w:cs="Arial"/>
          <w:sz w:val="20"/>
          <w:szCs w:val="20"/>
        </w:rPr>
        <w:t>nezavezujoči</w:t>
      </w:r>
      <w:proofErr w:type="spellEnd"/>
      <w:r w:rsidRPr="00A717A9">
        <w:rPr>
          <w:rFonts w:ascii="Arial" w:hAnsi="Arial" w:cs="Arial"/>
          <w:sz w:val="20"/>
          <w:szCs w:val="20"/>
        </w:rPr>
        <w:t xml:space="preserve"> cilj za povečanje energetske učinkovitosti na ravni EU za 20 odstotkov.</w:t>
      </w:r>
      <w:r w:rsidR="00C53EF9" w:rsidRPr="00A717A9">
        <w:rPr>
          <w:rFonts w:ascii="Arial" w:hAnsi="Arial" w:cs="Arial"/>
          <w:sz w:val="20"/>
          <w:szCs w:val="20"/>
        </w:rPr>
        <w:t xml:space="preserve"> V letu 2016 je bila po podatkih urada </w:t>
      </w:r>
      <w:proofErr w:type="spellStart"/>
      <w:r w:rsidR="00C53EF9" w:rsidRPr="00A717A9">
        <w:rPr>
          <w:rFonts w:ascii="Arial" w:hAnsi="Arial" w:cs="Arial"/>
          <w:sz w:val="20"/>
          <w:szCs w:val="20"/>
        </w:rPr>
        <w:t>Eurostat</w:t>
      </w:r>
      <w:proofErr w:type="spellEnd"/>
      <w:r w:rsidR="00C53EF9" w:rsidRPr="00A717A9">
        <w:rPr>
          <w:rFonts w:ascii="Arial" w:hAnsi="Arial" w:cs="Arial"/>
          <w:sz w:val="20"/>
          <w:szCs w:val="20"/>
        </w:rPr>
        <w:t xml:space="preserve">  raba primarne energije 4 odstotke nad tem ciljem, poraba končne energije pa 2 odstotka nad tem ciljem.</w:t>
      </w:r>
    </w:p>
    <w:p w:rsidR="00C53EF9" w:rsidRPr="00A717A9" w:rsidRDefault="00C53EF9" w:rsidP="00A717A9">
      <w:pPr>
        <w:rPr>
          <w:rFonts w:ascii="Arial" w:hAnsi="Arial" w:cs="Arial"/>
          <w:sz w:val="20"/>
          <w:szCs w:val="20"/>
        </w:rPr>
      </w:pPr>
      <w:r w:rsidRPr="00A717A9">
        <w:rPr>
          <w:rFonts w:ascii="Arial" w:hAnsi="Arial" w:cs="Arial"/>
          <w:sz w:val="20"/>
          <w:szCs w:val="20"/>
        </w:rPr>
        <w:t>Uredba o upravljanju energetske unije in podnebnih ukrepov predpisuje, da morajo države članice za obdobje 2021-2030 pripraviti nacionalne energetske in podnebne načrte, v katerih bodo opredelile, kako bodo dosegle cilje.</w:t>
      </w:r>
    </w:p>
    <w:p w:rsidR="00C53EF9" w:rsidRPr="00A717A9" w:rsidRDefault="00C53EF9" w:rsidP="00A717A9">
      <w:pPr>
        <w:rPr>
          <w:rFonts w:ascii="Arial" w:hAnsi="Arial" w:cs="Arial"/>
          <w:sz w:val="20"/>
          <w:szCs w:val="20"/>
        </w:rPr>
      </w:pPr>
      <w:r w:rsidRPr="00A717A9">
        <w:rPr>
          <w:rFonts w:ascii="Arial" w:hAnsi="Arial" w:cs="Arial"/>
          <w:sz w:val="20"/>
          <w:szCs w:val="20"/>
        </w:rPr>
        <w:t xml:space="preserve">Za preostale štiri zakonodajne akte, ki se nanašajo na trg z električno energijo (predlog direktive o skupnih pravilih notranjega trga električne energije, </w:t>
      </w:r>
      <w:r w:rsidR="00AD7E63" w:rsidRPr="00A717A9">
        <w:rPr>
          <w:rFonts w:ascii="Arial" w:hAnsi="Arial" w:cs="Arial"/>
          <w:sz w:val="20"/>
          <w:szCs w:val="20"/>
        </w:rPr>
        <w:t xml:space="preserve">predlog </w:t>
      </w:r>
      <w:r w:rsidRPr="00A717A9">
        <w:rPr>
          <w:rFonts w:ascii="Arial" w:hAnsi="Arial" w:cs="Arial"/>
          <w:sz w:val="20"/>
          <w:szCs w:val="20"/>
        </w:rPr>
        <w:t>uredb</w:t>
      </w:r>
      <w:r w:rsidR="00AD7E63" w:rsidRPr="00A717A9">
        <w:rPr>
          <w:rFonts w:ascii="Arial" w:hAnsi="Arial" w:cs="Arial"/>
          <w:sz w:val="20"/>
          <w:szCs w:val="20"/>
        </w:rPr>
        <w:t>e</w:t>
      </w:r>
      <w:r w:rsidRPr="00A717A9">
        <w:rPr>
          <w:rFonts w:ascii="Arial" w:hAnsi="Arial" w:cs="Arial"/>
          <w:sz w:val="20"/>
          <w:szCs w:val="20"/>
        </w:rPr>
        <w:t xml:space="preserve"> o notranjem trgu električne energije</w:t>
      </w:r>
      <w:r w:rsidR="00AD7E63" w:rsidRPr="00A717A9">
        <w:rPr>
          <w:rFonts w:ascii="Arial" w:hAnsi="Arial" w:cs="Arial"/>
          <w:sz w:val="20"/>
          <w:szCs w:val="20"/>
        </w:rPr>
        <w:t>, predlog uredbe o Agenciji Evropske unije za sodelovanje energetskih regulatorjev – ACER in o predlogu uredbe o pripravljenosti na tveganja v sektorju električne energije) je že bil dosežen politični dogovor med državami članicami v okviru Sveta EU in Evropskim parlamentom. Evropska komisija pričakuje, da bodo sprejeti v prvi polovici 2019.</w:t>
      </w:r>
    </w:p>
    <w:p w:rsidR="00C53EF9" w:rsidRPr="00A717A9" w:rsidRDefault="00C53EF9" w:rsidP="00A717A9">
      <w:pPr>
        <w:rPr>
          <w:rFonts w:ascii="Arial" w:hAnsi="Arial" w:cs="Arial"/>
          <w:b/>
          <w:sz w:val="20"/>
          <w:szCs w:val="20"/>
        </w:rPr>
      </w:pPr>
      <w:r w:rsidRPr="00A717A9">
        <w:rPr>
          <w:rFonts w:ascii="Arial" w:hAnsi="Arial" w:cs="Arial"/>
          <w:b/>
          <w:sz w:val="20"/>
          <w:szCs w:val="20"/>
        </w:rPr>
        <w:t>Koristne informacije:</w:t>
      </w:r>
    </w:p>
    <w:p w:rsidR="00C53EF9" w:rsidRPr="00A717A9" w:rsidRDefault="00AD7E63" w:rsidP="00A717A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17A9">
        <w:rPr>
          <w:rFonts w:ascii="Arial" w:hAnsi="Arial" w:cs="Arial"/>
          <w:sz w:val="20"/>
          <w:szCs w:val="20"/>
        </w:rPr>
        <w:t>Spletna stran Evropske komisije z informacijami o novi zakonodaji in predlogih:</w:t>
      </w:r>
    </w:p>
    <w:p w:rsidR="00AD7E63" w:rsidRPr="00A717A9" w:rsidRDefault="00AD7E63" w:rsidP="00A717A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A717A9">
          <w:rPr>
            <w:rStyle w:val="Hiperpovezava"/>
            <w:rFonts w:ascii="Arial" w:hAnsi="Arial" w:cs="Arial"/>
            <w:sz w:val="20"/>
            <w:szCs w:val="20"/>
          </w:rPr>
          <w:t>https://ec.europa.eu/info/news/new-renewables-energy-efficiency-and-governance-legislation-comes-force-24-december-2018-2018-dec-21_en</w:t>
        </w:r>
      </w:hyperlink>
    </w:p>
    <w:p w:rsidR="00AD7E63" w:rsidRPr="00A717A9" w:rsidRDefault="00C41221" w:rsidP="00A717A9">
      <w:pPr>
        <w:rPr>
          <w:rFonts w:ascii="Arial" w:hAnsi="Arial" w:cs="Arial"/>
          <w:sz w:val="20"/>
          <w:szCs w:val="20"/>
        </w:rPr>
      </w:pPr>
      <w:r w:rsidRPr="00A717A9">
        <w:rPr>
          <w:rFonts w:ascii="Arial" w:hAnsi="Arial" w:cs="Arial"/>
          <w:sz w:val="20"/>
          <w:szCs w:val="20"/>
        </w:rPr>
        <w:t>Pripravila:</w:t>
      </w:r>
    </w:p>
    <w:p w:rsidR="00C41221" w:rsidRPr="00A717A9" w:rsidRDefault="00C41221" w:rsidP="00A717A9">
      <w:pPr>
        <w:rPr>
          <w:rFonts w:ascii="Arial" w:hAnsi="Arial" w:cs="Arial"/>
          <w:sz w:val="20"/>
          <w:szCs w:val="20"/>
        </w:rPr>
      </w:pPr>
      <w:r w:rsidRPr="00A717A9">
        <w:rPr>
          <w:rFonts w:ascii="Arial" w:hAnsi="Arial" w:cs="Arial"/>
          <w:sz w:val="20"/>
          <w:szCs w:val="20"/>
        </w:rPr>
        <w:t>Darja Kocbek</w:t>
      </w:r>
    </w:p>
    <w:p w:rsidR="00C53EF9" w:rsidRDefault="00C53EF9"/>
    <w:sectPr w:rsidR="00C53EF9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20D61"/>
    <w:multiLevelType w:val="hybridMultilevel"/>
    <w:tmpl w:val="D19A9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6426"/>
    <w:rsid w:val="001E6BF7"/>
    <w:rsid w:val="00896426"/>
    <w:rsid w:val="00960CE9"/>
    <w:rsid w:val="00A717A9"/>
    <w:rsid w:val="00AD7E63"/>
    <w:rsid w:val="00B459D4"/>
    <w:rsid w:val="00C13EC1"/>
    <w:rsid w:val="00C41221"/>
    <w:rsid w:val="00C5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rsid w:val="00960CE9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13EC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717A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960CE9"/>
    <w:rPr>
      <w:rFonts w:ascii="Arial" w:eastAsia="Arial" w:hAnsi="Arial" w:cs="Arial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0CE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0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news/new-renewables-energy-efficiency-and-governance-legislation-comes-force-24-december-2018-2018-dec-21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401</Words>
  <Characters>2475</Characters>
  <Application>Microsoft Office Word</Application>
  <DocSecurity>0</DocSecurity>
  <Lines>38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2019-01-08T17:08:00Z</dcterms:created>
  <dcterms:modified xsi:type="dcterms:W3CDTF">2019-01-08T17:54:00Z</dcterms:modified>
</cp:coreProperties>
</file>