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75E" w:rsidRPr="00467345" w:rsidRDefault="001E575E" w:rsidP="001E575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E575E" w:rsidRPr="00083714" w:rsidRDefault="001E575E" w:rsidP="001E575E">
      <w:pPr>
        <w:pStyle w:val="Naslov2"/>
        <w:tabs>
          <w:tab w:val="left" w:pos="3120"/>
        </w:tabs>
        <w:spacing w:before="240"/>
        <w:jc w:val="center"/>
        <w:rPr>
          <w:b w:val="0"/>
          <w:bCs w:val="0"/>
          <w:i/>
          <w:iCs/>
          <w:sz w:val="22"/>
        </w:rPr>
      </w:pPr>
      <w:r w:rsidRPr="00083714">
        <w:rPr>
          <w:sz w:val="22"/>
        </w:rPr>
        <w:t>Slovensko gospodarsko in raziskovalno združenje, Bruselj</w:t>
      </w:r>
    </w:p>
    <w:p w:rsidR="001E575E" w:rsidRPr="00083714" w:rsidRDefault="001E575E" w:rsidP="001E575E">
      <w:pPr>
        <w:pBdr>
          <w:bottom w:val="single" w:sz="6" w:space="1" w:color="auto"/>
        </w:pBdr>
        <w:tabs>
          <w:tab w:val="left" w:pos="3120"/>
        </w:tabs>
        <w:spacing w:before="240"/>
        <w:jc w:val="center"/>
        <w:rPr>
          <w:sz w:val="16"/>
          <w:szCs w:val="16"/>
        </w:rPr>
      </w:pPr>
    </w:p>
    <w:p w:rsidR="001E575E" w:rsidRDefault="001E575E" w:rsidP="001E575E">
      <w:pPr>
        <w:tabs>
          <w:tab w:val="left" w:pos="3120"/>
        </w:tabs>
        <w:spacing w:before="240"/>
        <w:rPr>
          <w:b/>
        </w:rPr>
      </w:pPr>
      <w:r w:rsidRPr="00083714">
        <w:rPr>
          <w:b/>
        </w:rPr>
        <w:tab/>
      </w:r>
      <w:r>
        <w:rPr>
          <w:b/>
        </w:rPr>
        <w:t xml:space="preserve">Občasna informacija članom 05 </w:t>
      </w:r>
      <w:r w:rsidRPr="00083714">
        <w:rPr>
          <w:b/>
        </w:rPr>
        <w:t>– 20</w:t>
      </w:r>
      <w:r>
        <w:rPr>
          <w:b/>
        </w:rPr>
        <w:t>22</w:t>
      </w:r>
    </w:p>
    <w:p w:rsidR="001E575E" w:rsidRPr="0084452F" w:rsidRDefault="001E575E" w:rsidP="001E575E">
      <w:pPr>
        <w:tabs>
          <w:tab w:val="left" w:pos="3120"/>
        </w:tabs>
        <w:spacing w:before="240"/>
        <w:jc w:val="center"/>
        <w:rPr>
          <w:b/>
        </w:rPr>
      </w:pPr>
      <w:r>
        <w:rPr>
          <w:b/>
        </w:rPr>
        <w:t xml:space="preserve">10. januar </w:t>
      </w:r>
      <w:r w:rsidRPr="00083714">
        <w:rPr>
          <w:b/>
        </w:rPr>
        <w:t xml:space="preserve"> 20</w:t>
      </w:r>
      <w:r>
        <w:rPr>
          <w:b/>
        </w:rPr>
        <w:t>22</w:t>
      </w:r>
    </w:p>
    <w:p w:rsidR="0097762F" w:rsidRDefault="001E575E" w:rsidP="001E575E">
      <w:pPr>
        <w:jc w:val="center"/>
        <w:rPr>
          <w:rFonts w:ascii="Arial" w:hAnsi="Arial" w:cs="Arial"/>
          <w:b/>
          <w:i/>
        </w:rPr>
      </w:pPr>
      <w:r>
        <w:rPr>
          <w:b/>
          <w:color w:val="993300"/>
          <w:sz w:val="32"/>
          <w:szCs w:val="32"/>
        </w:rPr>
        <w:t>Katalog inovativnih rešitev, razvitih v okviru Pobude Internet naslednje generacije (NGI)</w:t>
      </w:r>
    </w:p>
    <w:p w:rsidR="0057452B" w:rsidRPr="0097762F" w:rsidRDefault="005960B5" w:rsidP="0097762F">
      <w:pPr>
        <w:jc w:val="both"/>
        <w:rPr>
          <w:rFonts w:ascii="Arial" w:hAnsi="Arial" w:cs="Arial"/>
          <w:b/>
          <w:i/>
        </w:rPr>
      </w:pPr>
      <w:r w:rsidRPr="0097762F">
        <w:rPr>
          <w:rFonts w:ascii="Arial" w:hAnsi="Arial" w:cs="Arial"/>
          <w:b/>
          <w:i/>
        </w:rPr>
        <w:t>T</w:t>
      </w:r>
      <w:r w:rsidR="00D22DD6" w:rsidRPr="0097762F">
        <w:rPr>
          <w:rFonts w:ascii="Arial" w:hAnsi="Arial" w:cs="Arial"/>
          <w:b/>
          <w:i/>
        </w:rPr>
        <w:t xml:space="preserve">ehnološke rešitve, ki so jih </w:t>
      </w:r>
      <w:r w:rsidRPr="0097762F">
        <w:rPr>
          <w:rFonts w:ascii="Arial" w:hAnsi="Arial" w:cs="Arial"/>
          <w:b/>
          <w:i/>
        </w:rPr>
        <w:t>inovatorji razvili s finančno podporo pobude Internet naslednje generacije (</w:t>
      </w:r>
      <w:proofErr w:type="spellStart"/>
      <w:r w:rsidRPr="0097762F">
        <w:rPr>
          <w:rFonts w:ascii="Arial" w:hAnsi="Arial" w:cs="Arial"/>
          <w:b/>
          <w:i/>
        </w:rPr>
        <w:t>Next</w:t>
      </w:r>
      <w:proofErr w:type="spellEnd"/>
      <w:r w:rsidRPr="0097762F">
        <w:rPr>
          <w:rFonts w:ascii="Arial" w:hAnsi="Arial" w:cs="Arial"/>
          <w:b/>
          <w:i/>
        </w:rPr>
        <w:t xml:space="preserve"> </w:t>
      </w:r>
      <w:proofErr w:type="spellStart"/>
      <w:r w:rsidRPr="0097762F">
        <w:rPr>
          <w:rFonts w:ascii="Arial" w:hAnsi="Arial" w:cs="Arial"/>
          <w:b/>
          <w:i/>
        </w:rPr>
        <w:t>Generation</w:t>
      </w:r>
      <w:proofErr w:type="spellEnd"/>
      <w:r w:rsidRPr="0097762F">
        <w:rPr>
          <w:rFonts w:ascii="Arial" w:hAnsi="Arial" w:cs="Arial"/>
          <w:b/>
          <w:i/>
        </w:rPr>
        <w:t xml:space="preserve"> Internet - NGI) so</w:t>
      </w:r>
      <w:r w:rsidR="00D22DD6" w:rsidRPr="0097762F">
        <w:rPr>
          <w:rFonts w:ascii="Arial" w:hAnsi="Arial" w:cs="Arial"/>
          <w:b/>
          <w:i/>
        </w:rPr>
        <w:t xml:space="preserve"> </w:t>
      </w:r>
      <w:r w:rsidRPr="0097762F">
        <w:rPr>
          <w:rFonts w:ascii="Arial" w:hAnsi="Arial" w:cs="Arial"/>
          <w:b/>
          <w:i/>
        </w:rPr>
        <w:t>objavljene</w:t>
      </w:r>
      <w:r w:rsidR="00D22DD6" w:rsidRPr="0097762F">
        <w:rPr>
          <w:rFonts w:ascii="Arial" w:hAnsi="Arial" w:cs="Arial"/>
          <w:b/>
          <w:i/>
        </w:rPr>
        <w:t xml:space="preserve"> v spletnem katalogu. V njem je mogoče najti strojno opremo, programsko opremo in aplikacije za vzpostavitev interneta za digitalno dobo. Predstavljenih je več kot 500 rešitev</w:t>
      </w:r>
      <w:r w:rsidRPr="0097762F">
        <w:rPr>
          <w:rFonts w:ascii="Arial" w:hAnsi="Arial" w:cs="Arial"/>
          <w:b/>
          <w:i/>
        </w:rPr>
        <w:t>. V NGI</w:t>
      </w:r>
      <w:r w:rsidR="00D22DD6" w:rsidRPr="0097762F">
        <w:rPr>
          <w:rFonts w:ascii="Arial" w:hAnsi="Arial" w:cs="Arial"/>
          <w:b/>
          <w:i/>
        </w:rPr>
        <w:t xml:space="preserve"> je vključenih več kot 1 000 inovatorjev</w:t>
      </w:r>
      <w:r w:rsidRPr="0097762F">
        <w:rPr>
          <w:rFonts w:ascii="Arial" w:hAnsi="Arial" w:cs="Arial"/>
          <w:b/>
          <w:i/>
        </w:rPr>
        <w:t>, tudi</w:t>
      </w:r>
      <w:r w:rsidR="00D22DD6" w:rsidRPr="0097762F">
        <w:rPr>
          <w:rFonts w:ascii="Arial" w:hAnsi="Arial" w:cs="Arial"/>
          <w:b/>
          <w:i/>
        </w:rPr>
        <w:t xml:space="preserve"> </w:t>
      </w:r>
      <w:r w:rsidRPr="0097762F">
        <w:rPr>
          <w:rFonts w:ascii="Arial" w:hAnsi="Arial" w:cs="Arial"/>
          <w:b/>
          <w:i/>
        </w:rPr>
        <w:t xml:space="preserve">iz Slovenije. </w:t>
      </w:r>
      <w:r w:rsidR="00D22DD6" w:rsidRPr="0097762F">
        <w:rPr>
          <w:rFonts w:ascii="Arial" w:hAnsi="Arial" w:cs="Arial"/>
          <w:b/>
          <w:i/>
        </w:rPr>
        <w:t>Člani lahko dobijo več informacij o pobudi NGI na SBRA.</w:t>
      </w:r>
    </w:p>
    <w:p w:rsidR="00B37C04" w:rsidRPr="0097762F" w:rsidRDefault="00B37C04" w:rsidP="0097762F">
      <w:pPr>
        <w:jc w:val="both"/>
        <w:rPr>
          <w:rFonts w:ascii="Arial" w:hAnsi="Arial" w:cs="Arial"/>
          <w:b/>
          <w:sz w:val="20"/>
          <w:szCs w:val="20"/>
        </w:rPr>
      </w:pPr>
      <w:r w:rsidRPr="0097762F">
        <w:rPr>
          <w:rFonts w:ascii="Arial" w:hAnsi="Arial" w:cs="Arial"/>
          <w:b/>
          <w:sz w:val="20"/>
          <w:szCs w:val="20"/>
        </w:rPr>
        <w:t>Tabela 1: Prikaz tehnologij, ki so predstavljene v katalogu</w:t>
      </w:r>
    </w:p>
    <w:tbl>
      <w:tblPr>
        <w:tblStyle w:val="Tabela-mrea"/>
        <w:tblW w:w="0" w:type="auto"/>
        <w:tblLook w:val="04A0"/>
      </w:tblPr>
      <w:tblGrid>
        <w:gridCol w:w="9212"/>
      </w:tblGrid>
      <w:tr w:rsidR="00B37C04" w:rsidRPr="0097762F" w:rsidTr="00B37C04">
        <w:tc>
          <w:tcPr>
            <w:tcW w:w="9212" w:type="dxa"/>
          </w:tcPr>
          <w:p w:rsidR="00B37C04" w:rsidRPr="0097762F" w:rsidRDefault="00B37C04" w:rsidP="0097762F">
            <w:pPr>
              <w:jc w:val="both"/>
              <w:rPr>
                <w:rFonts w:ascii="Arial" w:hAnsi="Arial" w:cs="Arial"/>
                <w:b/>
                <w:sz w:val="20"/>
                <w:szCs w:val="20"/>
              </w:rPr>
            </w:pPr>
            <w:r w:rsidRPr="0097762F">
              <w:rPr>
                <w:rFonts w:ascii="Arial" w:hAnsi="Arial" w:cs="Arial"/>
                <w:b/>
                <w:sz w:val="20"/>
                <w:szCs w:val="20"/>
              </w:rPr>
              <w:t>Tehnologija:</w:t>
            </w:r>
          </w:p>
        </w:tc>
      </w:tr>
      <w:tr w:rsidR="00B37C04" w:rsidRPr="0097762F" w:rsidTr="00B37C04">
        <w:tc>
          <w:tcPr>
            <w:tcW w:w="9212" w:type="dxa"/>
          </w:tcPr>
          <w:p w:rsidR="00B37C04" w:rsidRPr="0097762F" w:rsidRDefault="00B37C04" w:rsidP="0097762F">
            <w:pPr>
              <w:jc w:val="both"/>
              <w:rPr>
                <w:rFonts w:ascii="Arial" w:hAnsi="Arial" w:cs="Arial"/>
                <w:sz w:val="20"/>
                <w:szCs w:val="20"/>
              </w:rPr>
            </w:pPr>
            <w:r w:rsidRPr="0097762F">
              <w:rPr>
                <w:rFonts w:ascii="Arial" w:hAnsi="Arial" w:cs="Arial"/>
                <w:sz w:val="20"/>
                <w:szCs w:val="20"/>
              </w:rPr>
              <w:t>Zanesljiva strojna oprema in proizvodnja</w:t>
            </w:r>
          </w:p>
        </w:tc>
      </w:tr>
      <w:tr w:rsidR="00B37C04" w:rsidRPr="0097762F" w:rsidTr="00B37C04">
        <w:tc>
          <w:tcPr>
            <w:tcW w:w="9212" w:type="dxa"/>
          </w:tcPr>
          <w:p w:rsidR="00B37C04" w:rsidRPr="0097762F" w:rsidRDefault="00B37C04" w:rsidP="0097762F">
            <w:pPr>
              <w:jc w:val="both"/>
              <w:rPr>
                <w:rFonts w:ascii="Arial" w:hAnsi="Arial" w:cs="Arial"/>
                <w:sz w:val="20"/>
                <w:szCs w:val="20"/>
              </w:rPr>
            </w:pPr>
            <w:r w:rsidRPr="0097762F">
              <w:rPr>
                <w:rFonts w:ascii="Arial" w:hAnsi="Arial" w:cs="Arial"/>
                <w:sz w:val="20"/>
                <w:szCs w:val="20"/>
              </w:rPr>
              <w:t>Omrežna infrastruktura, vključno z usmerjanjem, enakopravnimi in navideznimi zasebnimi omrežji</w:t>
            </w:r>
          </w:p>
        </w:tc>
      </w:tr>
      <w:tr w:rsidR="00B37C04" w:rsidRPr="0097762F" w:rsidTr="00B37C04">
        <w:tc>
          <w:tcPr>
            <w:tcW w:w="9212" w:type="dxa"/>
          </w:tcPr>
          <w:p w:rsidR="00B37C04" w:rsidRPr="0097762F" w:rsidRDefault="00B37C04" w:rsidP="0097762F">
            <w:pPr>
              <w:jc w:val="both"/>
              <w:rPr>
                <w:rFonts w:ascii="Arial" w:hAnsi="Arial" w:cs="Arial"/>
                <w:sz w:val="20"/>
                <w:szCs w:val="20"/>
              </w:rPr>
            </w:pPr>
            <w:r w:rsidRPr="0097762F">
              <w:rPr>
                <w:rFonts w:ascii="Arial" w:hAnsi="Arial" w:cs="Arial"/>
                <w:sz w:val="20"/>
                <w:szCs w:val="20"/>
              </w:rPr>
              <w:t xml:space="preserve">Inženiring programske opreme, protokoli, </w:t>
            </w:r>
            <w:proofErr w:type="spellStart"/>
            <w:r w:rsidRPr="0097762F">
              <w:rPr>
                <w:rFonts w:ascii="Arial" w:hAnsi="Arial" w:cs="Arial"/>
                <w:sz w:val="20"/>
                <w:szCs w:val="20"/>
              </w:rPr>
              <w:t>interoperabilnost</w:t>
            </w:r>
            <w:proofErr w:type="spellEnd"/>
            <w:r w:rsidRPr="0097762F">
              <w:rPr>
                <w:rFonts w:ascii="Arial" w:hAnsi="Arial" w:cs="Arial"/>
                <w:sz w:val="20"/>
                <w:szCs w:val="20"/>
              </w:rPr>
              <w:t>, kriptografija, algoritmi, dokazi</w:t>
            </w:r>
          </w:p>
        </w:tc>
      </w:tr>
      <w:tr w:rsidR="00B37C04" w:rsidRPr="0097762F" w:rsidTr="00B37C04">
        <w:tc>
          <w:tcPr>
            <w:tcW w:w="9212" w:type="dxa"/>
          </w:tcPr>
          <w:p w:rsidR="00B37C04" w:rsidRPr="0097762F" w:rsidRDefault="00B37C04" w:rsidP="0097762F">
            <w:pPr>
              <w:jc w:val="both"/>
              <w:rPr>
                <w:rFonts w:ascii="Arial" w:hAnsi="Arial" w:cs="Arial"/>
                <w:sz w:val="20"/>
                <w:szCs w:val="20"/>
              </w:rPr>
            </w:pPr>
            <w:r w:rsidRPr="0097762F">
              <w:rPr>
                <w:rFonts w:ascii="Arial" w:hAnsi="Arial" w:cs="Arial"/>
                <w:sz w:val="20"/>
                <w:szCs w:val="20"/>
              </w:rPr>
              <w:t xml:space="preserve">Operacijski sistemi, vdelana programska oprema in </w:t>
            </w:r>
            <w:proofErr w:type="spellStart"/>
            <w:r w:rsidRPr="0097762F">
              <w:rPr>
                <w:rFonts w:ascii="Arial" w:hAnsi="Arial" w:cs="Arial"/>
                <w:sz w:val="20"/>
                <w:szCs w:val="20"/>
              </w:rPr>
              <w:t>virtualizacija</w:t>
            </w:r>
            <w:proofErr w:type="spellEnd"/>
          </w:p>
        </w:tc>
      </w:tr>
      <w:tr w:rsidR="00B37C04" w:rsidRPr="0097762F" w:rsidTr="00B37C04">
        <w:tc>
          <w:tcPr>
            <w:tcW w:w="9212" w:type="dxa"/>
          </w:tcPr>
          <w:p w:rsidR="00B37C04" w:rsidRPr="0097762F" w:rsidRDefault="00B37C04" w:rsidP="0097762F">
            <w:pPr>
              <w:jc w:val="both"/>
              <w:rPr>
                <w:rFonts w:ascii="Arial" w:hAnsi="Arial" w:cs="Arial"/>
                <w:sz w:val="20"/>
                <w:szCs w:val="20"/>
              </w:rPr>
            </w:pPr>
            <w:r w:rsidRPr="0097762F">
              <w:rPr>
                <w:rFonts w:ascii="Arial" w:hAnsi="Arial" w:cs="Arial"/>
                <w:sz w:val="20"/>
                <w:szCs w:val="20"/>
              </w:rPr>
              <w:t>Merjenje, spremljanje, analiza in obravnavanje zlorab</w:t>
            </w:r>
          </w:p>
        </w:tc>
      </w:tr>
      <w:tr w:rsidR="00B37C04" w:rsidRPr="0097762F" w:rsidTr="00B37C04">
        <w:tc>
          <w:tcPr>
            <w:tcW w:w="9212" w:type="dxa"/>
          </w:tcPr>
          <w:p w:rsidR="00B37C04" w:rsidRPr="0097762F" w:rsidRDefault="00B37C04" w:rsidP="0097762F">
            <w:pPr>
              <w:jc w:val="both"/>
              <w:rPr>
                <w:rFonts w:ascii="Arial" w:hAnsi="Arial" w:cs="Arial"/>
                <w:sz w:val="20"/>
                <w:szCs w:val="20"/>
              </w:rPr>
            </w:pPr>
            <w:r w:rsidRPr="0097762F">
              <w:rPr>
                <w:rFonts w:ascii="Arial" w:hAnsi="Arial" w:cs="Arial"/>
                <w:sz w:val="20"/>
                <w:szCs w:val="20"/>
              </w:rPr>
              <w:t>Vmesna programska oprema in identiteta</w:t>
            </w:r>
          </w:p>
        </w:tc>
      </w:tr>
      <w:tr w:rsidR="00B37C04" w:rsidRPr="0097762F" w:rsidTr="00B37C04">
        <w:tc>
          <w:tcPr>
            <w:tcW w:w="9212" w:type="dxa"/>
          </w:tcPr>
          <w:p w:rsidR="00B37C04" w:rsidRPr="0097762F" w:rsidRDefault="00B37C04" w:rsidP="0097762F">
            <w:pPr>
              <w:jc w:val="both"/>
              <w:rPr>
                <w:rFonts w:ascii="Arial" w:hAnsi="Arial" w:cs="Arial"/>
                <w:sz w:val="20"/>
                <w:szCs w:val="20"/>
              </w:rPr>
            </w:pPr>
            <w:r w:rsidRPr="0097762F">
              <w:rPr>
                <w:rFonts w:ascii="Arial" w:hAnsi="Arial" w:cs="Arial"/>
                <w:sz w:val="20"/>
                <w:szCs w:val="20"/>
              </w:rPr>
              <w:t>Decentralizirane rešitve, vključno s tehnologijami veriženja blokov in tehnologije razpršene evidence (</w:t>
            </w:r>
            <w:proofErr w:type="spellStart"/>
            <w:r w:rsidRPr="0097762F">
              <w:rPr>
                <w:rFonts w:ascii="Arial" w:hAnsi="Arial" w:cs="Arial"/>
                <w:sz w:val="20"/>
                <w:szCs w:val="20"/>
              </w:rPr>
              <w:t>ledger</w:t>
            </w:r>
            <w:proofErr w:type="spellEnd"/>
            <w:r w:rsidRPr="0097762F">
              <w:rPr>
                <w:rFonts w:ascii="Arial" w:hAnsi="Arial" w:cs="Arial"/>
                <w:sz w:val="20"/>
                <w:szCs w:val="20"/>
              </w:rPr>
              <w:t>)</w:t>
            </w:r>
          </w:p>
        </w:tc>
      </w:tr>
      <w:tr w:rsidR="00B37C04" w:rsidRPr="0097762F" w:rsidTr="00B37C04">
        <w:tc>
          <w:tcPr>
            <w:tcW w:w="9212" w:type="dxa"/>
          </w:tcPr>
          <w:p w:rsidR="00B37C04" w:rsidRPr="0097762F" w:rsidRDefault="00B37C04" w:rsidP="0097762F">
            <w:pPr>
              <w:jc w:val="both"/>
              <w:rPr>
                <w:rFonts w:ascii="Arial" w:hAnsi="Arial" w:cs="Arial"/>
                <w:sz w:val="20"/>
                <w:szCs w:val="20"/>
              </w:rPr>
            </w:pPr>
            <w:r w:rsidRPr="0097762F">
              <w:rPr>
                <w:rFonts w:ascii="Arial" w:hAnsi="Arial" w:cs="Arial"/>
                <w:sz w:val="20"/>
                <w:szCs w:val="20"/>
              </w:rPr>
              <w:t>Podatki in strojno učenje</w:t>
            </w:r>
          </w:p>
        </w:tc>
      </w:tr>
      <w:tr w:rsidR="00B37C04" w:rsidRPr="0097762F" w:rsidTr="00B37C04">
        <w:tc>
          <w:tcPr>
            <w:tcW w:w="9212" w:type="dxa"/>
          </w:tcPr>
          <w:p w:rsidR="00B37C04" w:rsidRPr="0097762F" w:rsidRDefault="00B37C04" w:rsidP="0097762F">
            <w:pPr>
              <w:jc w:val="both"/>
              <w:rPr>
                <w:rFonts w:ascii="Arial" w:hAnsi="Arial" w:cs="Arial"/>
                <w:sz w:val="20"/>
                <w:szCs w:val="20"/>
              </w:rPr>
            </w:pPr>
            <w:r w:rsidRPr="0097762F">
              <w:rPr>
                <w:rFonts w:ascii="Arial" w:hAnsi="Arial" w:cs="Arial"/>
                <w:sz w:val="20"/>
                <w:szCs w:val="20"/>
              </w:rPr>
              <w:t>Storitve in aplikacije, kot so elektronska pošta, takojšnje sporočanje prek računalnika (</w:t>
            </w:r>
            <w:proofErr w:type="spellStart"/>
            <w:r w:rsidRPr="0097762F">
              <w:rPr>
                <w:rFonts w:ascii="Arial" w:hAnsi="Arial" w:cs="Arial"/>
                <w:sz w:val="20"/>
                <w:szCs w:val="20"/>
              </w:rPr>
              <w:t>Instant</w:t>
            </w:r>
            <w:proofErr w:type="spellEnd"/>
            <w:r w:rsidRPr="0097762F">
              <w:rPr>
                <w:rFonts w:ascii="Arial" w:hAnsi="Arial" w:cs="Arial"/>
                <w:sz w:val="20"/>
                <w:szCs w:val="20"/>
              </w:rPr>
              <w:t xml:space="preserve"> </w:t>
            </w:r>
            <w:proofErr w:type="spellStart"/>
            <w:r w:rsidRPr="0097762F">
              <w:rPr>
                <w:rFonts w:ascii="Arial" w:hAnsi="Arial" w:cs="Arial"/>
                <w:sz w:val="20"/>
                <w:szCs w:val="20"/>
              </w:rPr>
              <w:t>Messaaging</w:t>
            </w:r>
            <w:proofErr w:type="spellEnd"/>
            <w:r w:rsidRPr="0097762F">
              <w:rPr>
                <w:rFonts w:ascii="Arial" w:hAnsi="Arial" w:cs="Arial"/>
                <w:sz w:val="20"/>
                <w:szCs w:val="20"/>
              </w:rPr>
              <w:t xml:space="preserve">), </w:t>
            </w:r>
            <w:proofErr w:type="spellStart"/>
            <w:r w:rsidRPr="0097762F">
              <w:rPr>
                <w:rFonts w:ascii="Arial" w:hAnsi="Arial" w:cs="Arial"/>
                <w:sz w:val="20"/>
                <w:szCs w:val="20"/>
              </w:rPr>
              <w:t>videoklepet</w:t>
            </w:r>
            <w:proofErr w:type="spellEnd"/>
            <w:r w:rsidRPr="0097762F">
              <w:rPr>
                <w:rFonts w:ascii="Arial" w:hAnsi="Arial" w:cs="Arial"/>
                <w:sz w:val="20"/>
                <w:szCs w:val="20"/>
              </w:rPr>
              <w:t xml:space="preserve"> in sodelovanje</w:t>
            </w:r>
          </w:p>
        </w:tc>
      </w:tr>
      <w:tr w:rsidR="00B37C04" w:rsidRPr="0097762F" w:rsidTr="00B37C04">
        <w:tc>
          <w:tcPr>
            <w:tcW w:w="9212" w:type="dxa"/>
          </w:tcPr>
          <w:p w:rsidR="00B37C04" w:rsidRPr="0097762F" w:rsidRDefault="00B37C04" w:rsidP="0097762F">
            <w:pPr>
              <w:jc w:val="both"/>
              <w:rPr>
                <w:rFonts w:ascii="Arial" w:hAnsi="Arial" w:cs="Arial"/>
                <w:sz w:val="20"/>
                <w:szCs w:val="20"/>
              </w:rPr>
            </w:pPr>
            <w:r w:rsidRPr="0097762F">
              <w:rPr>
                <w:rFonts w:ascii="Arial" w:hAnsi="Arial" w:cs="Arial"/>
                <w:sz w:val="20"/>
                <w:szCs w:val="20"/>
              </w:rPr>
              <w:t>Vertikalni primeri uporabe, izboljšanje iskanja in odkrivanja ter gradnja skupnosti</w:t>
            </w:r>
          </w:p>
        </w:tc>
      </w:tr>
    </w:tbl>
    <w:p w:rsidR="00B37C04" w:rsidRPr="0097762F" w:rsidRDefault="00B37C04" w:rsidP="0097762F">
      <w:pPr>
        <w:jc w:val="both"/>
        <w:rPr>
          <w:rFonts w:ascii="Arial" w:hAnsi="Arial" w:cs="Arial"/>
          <w:sz w:val="20"/>
          <w:szCs w:val="20"/>
        </w:rPr>
      </w:pPr>
      <w:r w:rsidRPr="0097762F">
        <w:rPr>
          <w:rFonts w:ascii="Arial" w:hAnsi="Arial" w:cs="Arial"/>
          <w:sz w:val="20"/>
          <w:szCs w:val="20"/>
        </w:rPr>
        <w:t>Vir: Evropska komisija</w:t>
      </w:r>
    </w:p>
    <w:p w:rsidR="00D22DD6" w:rsidRPr="0097762F" w:rsidRDefault="005960B5" w:rsidP="0097762F">
      <w:pPr>
        <w:jc w:val="both"/>
        <w:rPr>
          <w:rFonts w:ascii="Arial" w:hAnsi="Arial" w:cs="Arial"/>
          <w:sz w:val="20"/>
          <w:szCs w:val="20"/>
        </w:rPr>
      </w:pPr>
      <w:r w:rsidRPr="0097762F">
        <w:rPr>
          <w:rFonts w:ascii="Arial" w:hAnsi="Arial" w:cs="Arial"/>
          <w:sz w:val="20"/>
          <w:szCs w:val="20"/>
        </w:rPr>
        <w:t xml:space="preserve">NGI združuje skupnost internetnih inovatorjev in zainteresiranih strani. </w:t>
      </w:r>
      <w:r w:rsidR="00B37C04" w:rsidRPr="0097762F">
        <w:rPr>
          <w:rFonts w:ascii="Arial" w:hAnsi="Arial" w:cs="Arial"/>
          <w:sz w:val="20"/>
          <w:szCs w:val="20"/>
        </w:rPr>
        <w:t xml:space="preserve"> </w:t>
      </w:r>
      <w:r w:rsidRPr="0097762F">
        <w:rPr>
          <w:rFonts w:ascii="Arial" w:hAnsi="Arial" w:cs="Arial"/>
          <w:sz w:val="20"/>
          <w:szCs w:val="20"/>
        </w:rPr>
        <w:t>V okviru programa Obzorje Evropa je za to pobudo v obdobju 2021-2022 na voljo 62 milijonov evrov. Evropska komisija bo ta sredstva namenila za podporo internetnim inovatorjem za razvoj rešitev za zagotovitev zaupanja in suverenosti podatkov na internetu, za rešitve za zaupanja vredno odprto iskanje in odkrivanje, za internetno arhitekturo in decentralizirane tehnologije ter za okrepljeno sodelovanje med EU in ZDA ter EU in Kanado.</w:t>
      </w:r>
    </w:p>
    <w:p w:rsidR="001E575E" w:rsidRDefault="001E575E" w:rsidP="0097762F">
      <w:pPr>
        <w:jc w:val="both"/>
        <w:rPr>
          <w:rFonts w:ascii="Arial" w:hAnsi="Arial" w:cs="Arial"/>
          <w:b/>
          <w:sz w:val="20"/>
          <w:szCs w:val="20"/>
        </w:rPr>
      </w:pPr>
    </w:p>
    <w:p w:rsidR="001E575E" w:rsidRDefault="001E575E" w:rsidP="0097762F">
      <w:pPr>
        <w:jc w:val="both"/>
        <w:rPr>
          <w:rFonts w:ascii="Arial" w:hAnsi="Arial" w:cs="Arial"/>
          <w:b/>
          <w:sz w:val="20"/>
          <w:szCs w:val="20"/>
        </w:rPr>
      </w:pPr>
    </w:p>
    <w:p w:rsidR="005960B5" w:rsidRPr="0097762F" w:rsidRDefault="005960B5" w:rsidP="0097762F">
      <w:pPr>
        <w:jc w:val="both"/>
        <w:rPr>
          <w:rFonts w:ascii="Arial" w:hAnsi="Arial" w:cs="Arial"/>
          <w:b/>
          <w:sz w:val="20"/>
          <w:szCs w:val="20"/>
        </w:rPr>
      </w:pPr>
      <w:r w:rsidRPr="0097762F">
        <w:rPr>
          <w:rFonts w:ascii="Arial" w:hAnsi="Arial" w:cs="Arial"/>
          <w:b/>
          <w:sz w:val="20"/>
          <w:szCs w:val="20"/>
        </w:rPr>
        <w:lastRenderedPageBreak/>
        <w:t>Koristne informacije:</w:t>
      </w:r>
    </w:p>
    <w:p w:rsidR="005960B5" w:rsidRPr="0097762F" w:rsidRDefault="005960B5" w:rsidP="0097762F">
      <w:pPr>
        <w:pStyle w:val="Odstavekseznama"/>
        <w:numPr>
          <w:ilvl w:val="0"/>
          <w:numId w:val="1"/>
        </w:numPr>
        <w:jc w:val="both"/>
        <w:rPr>
          <w:rFonts w:ascii="Arial" w:hAnsi="Arial" w:cs="Arial"/>
          <w:sz w:val="20"/>
          <w:szCs w:val="20"/>
        </w:rPr>
      </w:pPr>
      <w:r w:rsidRPr="0097762F">
        <w:rPr>
          <w:rFonts w:ascii="Arial" w:hAnsi="Arial" w:cs="Arial"/>
          <w:sz w:val="20"/>
          <w:szCs w:val="20"/>
        </w:rPr>
        <w:t>Katalog:</w:t>
      </w:r>
    </w:p>
    <w:p w:rsidR="00E318B5" w:rsidRPr="0097762F" w:rsidRDefault="00E318B5" w:rsidP="0097762F">
      <w:pPr>
        <w:pStyle w:val="Odstavekseznama"/>
        <w:numPr>
          <w:ilvl w:val="0"/>
          <w:numId w:val="1"/>
        </w:numPr>
        <w:jc w:val="both"/>
        <w:rPr>
          <w:rFonts w:ascii="Arial" w:hAnsi="Arial" w:cs="Arial"/>
          <w:sz w:val="20"/>
          <w:szCs w:val="20"/>
        </w:rPr>
      </w:pPr>
      <w:hyperlink r:id="rId6" w:history="1">
        <w:r w:rsidRPr="0097762F">
          <w:rPr>
            <w:rStyle w:val="Hiperpovezava"/>
            <w:rFonts w:ascii="Arial" w:hAnsi="Arial" w:cs="Arial"/>
            <w:sz w:val="20"/>
            <w:szCs w:val="20"/>
          </w:rPr>
          <w:t>https://www.ngi.eu/discover-ngi-solutions/</w:t>
        </w:r>
      </w:hyperlink>
      <w:r w:rsidRPr="0097762F">
        <w:rPr>
          <w:rFonts w:ascii="Arial" w:hAnsi="Arial" w:cs="Arial"/>
          <w:sz w:val="20"/>
          <w:szCs w:val="20"/>
        </w:rPr>
        <w:t xml:space="preserve"> </w:t>
      </w:r>
    </w:p>
    <w:p w:rsidR="005960B5" w:rsidRPr="0097762F" w:rsidRDefault="00E318B5" w:rsidP="0097762F">
      <w:pPr>
        <w:pStyle w:val="Odstavekseznama"/>
        <w:numPr>
          <w:ilvl w:val="0"/>
          <w:numId w:val="1"/>
        </w:numPr>
        <w:jc w:val="both"/>
        <w:rPr>
          <w:rFonts w:ascii="Arial" w:hAnsi="Arial" w:cs="Arial"/>
          <w:sz w:val="20"/>
          <w:szCs w:val="20"/>
        </w:rPr>
      </w:pPr>
      <w:r w:rsidRPr="0097762F">
        <w:rPr>
          <w:rFonts w:ascii="Arial" w:hAnsi="Arial" w:cs="Arial"/>
          <w:sz w:val="20"/>
          <w:szCs w:val="20"/>
        </w:rPr>
        <w:t>Spletna stran NGI:</w:t>
      </w:r>
    </w:p>
    <w:p w:rsidR="00E318B5" w:rsidRPr="0097762F" w:rsidRDefault="00E318B5" w:rsidP="0097762F">
      <w:pPr>
        <w:pStyle w:val="Odstavekseznama"/>
        <w:numPr>
          <w:ilvl w:val="0"/>
          <w:numId w:val="1"/>
        </w:numPr>
        <w:jc w:val="both"/>
        <w:rPr>
          <w:rFonts w:ascii="Arial" w:hAnsi="Arial" w:cs="Arial"/>
          <w:sz w:val="20"/>
          <w:szCs w:val="20"/>
        </w:rPr>
      </w:pPr>
      <w:hyperlink r:id="rId7" w:history="1">
        <w:r w:rsidRPr="0097762F">
          <w:rPr>
            <w:rStyle w:val="Hiperpovezava"/>
            <w:rFonts w:ascii="Arial" w:hAnsi="Arial" w:cs="Arial"/>
            <w:sz w:val="20"/>
            <w:szCs w:val="20"/>
          </w:rPr>
          <w:t>https://www.ngi.eu/</w:t>
        </w:r>
      </w:hyperlink>
    </w:p>
    <w:p w:rsidR="00E318B5" w:rsidRPr="0097762F" w:rsidRDefault="00E318B5" w:rsidP="0097762F">
      <w:pPr>
        <w:spacing w:after="0"/>
        <w:jc w:val="both"/>
        <w:rPr>
          <w:rFonts w:ascii="Arial" w:hAnsi="Arial" w:cs="Arial"/>
          <w:sz w:val="20"/>
          <w:szCs w:val="20"/>
        </w:rPr>
      </w:pPr>
      <w:r w:rsidRPr="0097762F">
        <w:rPr>
          <w:rFonts w:ascii="Arial" w:hAnsi="Arial" w:cs="Arial"/>
          <w:sz w:val="20"/>
          <w:szCs w:val="20"/>
        </w:rPr>
        <w:t>Pripravila:</w:t>
      </w:r>
    </w:p>
    <w:p w:rsidR="00E318B5" w:rsidRPr="0097762F" w:rsidRDefault="00E318B5" w:rsidP="0097762F">
      <w:pPr>
        <w:spacing w:after="0"/>
        <w:jc w:val="both"/>
        <w:rPr>
          <w:rFonts w:ascii="Arial" w:hAnsi="Arial" w:cs="Arial"/>
          <w:sz w:val="20"/>
          <w:szCs w:val="20"/>
        </w:rPr>
      </w:pPr>
      <w:r w:rsidRPr="0097762F">
        <w:rPr>
          <w:rFonts w:ascii="Arial" w:hAnsi="Arial" w:cs="Arial"/>
          <w:sz w:val="20"/>
          <w:szCs w:val="20"/>
        </w:rPr>
        <w:t>Darja Kocbek</w:t>
      </w:r>
    </w:p>
    <w:sectPr w:rsidR="00E318B5" w:rsidRPr="0097762F" w:rsidSect="00574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A105A"/>
    <w:multiLevelType w:val="hybridMultilevel"/>
    <w:tmpl w:val="FA1A4E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2DD6"/>
    <w:rsid w:val="001E575E"/>
    <w:rsid w:val="0057452B"/>
    <w:rsid w:val="005960B5"/>
    <w:rsid w:val="0097762F"/>
    <w:rsid w:val="00B37C04"/>
    <w:rsid w:val="00D22DD6"/>
    <w:rsid w:val="00E318B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7452B"/>
  </w:style>
  <w:style w:type="paragraph" w:styleId="Naslov2">
    <w:name w:val="heading 2"/>
    <w:basedOn w:val="Navaden"/>
    <w:next w:val="Navaden"/>
    <w:link w:val="Naslov2Znak"/>
    <w:uiPriority w:val="9"/>
    <w:semiHidden/>
    <w:unhideWhenUsed/>
    <w:qFormat/>
    <w:rsid w:val="001E57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B37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E318B5"/>
    <w:rPr>
      <w:color w:val="0000FF" w:themeColor="hyperlink"/>
      <w:u w:val="single"/>
    </w:rPr>
  </w:style>
  <w:style w:type="paragraph" w:styleId="Odstavekseznama">
    <w:name w:val="List Paragraph"/>
    <w:basedOn w:val="Navaden"/>
    <w:uiPriority w:val="34"/>
    <w:qFormat/>
    <w:rsid w:val="0097762F"/>
    <w:pPr>
      <w:ind w:left="720"/>
      <w:contextualSpacing/>
    </w:pPr>
  </w:style>
  <w:style w:type="character" w:customStyle="1" w:styleId="Naslov2Znak">
    <w:name w:val="Naslov 2 Znak"/>
    <w:basedOn w:val="Privzetapisavaodstavka"/>
    <w:link w:val="Naslov2"/>
    <w:uiPriority w:val="9"/>
    <w:semiHidden/>
    <w:rsid w:val="001E575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E57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57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g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gi.eu/discover-ngi-solut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336</Words>
  <Characters>1916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2021-12-31T11:02:00Z</dcterms:created>
  <dcterms:modified xsi:type="dcterms:W3CDTF">2021-12-31T11:35:00Z</dcterms:modified>
</cp:coreProperties>
</file>