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C0" w:rsidRPr="00D5331F" w:rsidRDefault="00FE22C0" w:rsidP="00FE22C0">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E22C0" w:rsidRPr="00C446CC" w:rsidRDefault="00FE22C0" w:rsidP="00FE22C0">
      <w:pPr>
        <w:pStyle w:val="Naslov2"/>
        <w:tabs>
          <w:tab w:val="left" w:pos="3120"/>
        </w:tabs>
        <w:jc w:val="center"/>
        <w:rPr>
          <w:b/>
          <w:bCs/>
          <w:i/>
          <w:iCs/>
          <w:sz w:val="22"/>
        </w:rPr>
      </w:pPr>
      <w:r w:rsidRPr="00C446CC">
        <w:rPr>
          <w:sz w:val="22"/>
        </w:rPr>
        <w:t>Slovensko gospodarsko in raziskovalno združenje, Bruselj</w:t>
      </w:r>
    </w:p>
    <w:p w:rsidR="00FE22C0" w:rsidRPr="00C446CC" w:rsidRDefault="00FE22C0" w:rsidP="00FE22C0">
      <w:pPr>
        <w:pBdr>
          <w:bottom w:val="single" w:sz="6" w:space="1" w:color="auto"/>
        </w:pBdr>
        <w:tabs>
          <w:tab w:val="left" w:pos="3120"/>
        </w:tabs>
        <w:jc w:val="center"/>
        <w:rPr>
          <w:sz w:val="16"/>
          <w:szCs w:val="16"/>
        </w:rPr>
      </w:pPr>
    </w:p>
    <w:p w:rsidR="00FE22C0" w:rsidRPr="00C446CC" w:rsidRDefault="00FE22C0" w:rsidP="00FE22C0">
      <w:pPr>
        <w:tabs>
          <w:tab w:val="left" w:pos="3120"/>
        </w:tabs>
        <w:rPr>
          <w:b/>
        </w:rPr>
      </w:pPr>
      <w:r w:rsidRPr="00C446CC">
        <w:rPr>
          <w:b/>
        </w:rPr>
        <w:tab/>
      </w:r>
      <w:r>
        <w:rPr>
          <w:b/>
        </w:rPr>
        <w:t>Občasna informacija članom 05 – 2019</w:t>
      </w:r>
    </w:p>
    <w:p w:rsidR="00FE22C0" w:rsidRPr="00AC5779" w:rsidRDefault="00FE22C0" w:rsidP="00FE22C0">
      <w:pPr>
        <w:tabs>
          <w:tab w:val="left" w:pos="3120"/>
        </w:tabs>
        <w:jc w:val="center"/>
        <w:rPr>
          <w:b/>
        </w:rPr>
      </w:pPr>
      <w:r>
        <w:rPr>
          <w:b/>
        </w:rPr>
        <w:t>14</w:t>
      </w:r>
      <w:r w:rsidRPr="00C446CC">
        <w:rPr>
          <w:b/>
        </w:rPr>
        <w:t xml:space="preserve">. </w:t>
      </w:r>
      <w:r>
        <w:rPr>
          <w:b/>
        </w:rPr>
        <w:t>januar 2019</w:t>
      </w:r>
    </w:p>
    <w:p w:rsidR="00FE22C0" w:rsidRDefault="00FE22C0" w:rsidP="00FE22C0">
      <w:pPr>
        <w:jc w:val="center"/>
        <w:rPr>
          <w:rFonts w:ascii="Arial" w:hAnsi="Arial" w:cs="Arial"/>
          <w:b/>
          <w:i/>
        </w:rPr>
      </w:pPr>
      <w:r>
        <w:rPr>
          <w:b/>
          <w:color w:val="993300"/>
          <w:sz w:val="32"/>
          <w:szCs w:val="32"/>
        </w:rPr>
        <w:t xml:space="preserve">Od novega leta 2019 so v uporabi nova pravila o </w:t>
      </w:r>
      <w:proofErr w:type="spellStart"/>
      <w:r>
        <w:rPr>
          <w:b/>
          <w:color w:val="993300"/>
          <w:sz w:val="32"/>
          <w:szCs w:val="32"/>
        </w:rPr>
        <w:t>listninjenju</w:t>
      </w:r>
      <w:proofErr w:type="spellEnd"/>
      <w:r>
        <w:rPr>
          <w:b/>
          <w:color w:val="993300"/>
          <w:sz w:val="32"/>
          <w:szCs w:val="32"/>
        </w:rPr>
        <w:t>, katerih namen je zagotoviti dodatne vire financiranja za podjetja</w:t>
      </w:r>
    </w:p>
    <w:p w:rsidR="00B459D4" w:rsidRPr="00D53A29" w:rsidRDefault="00C36540" w:rsidP="00D53A29">
      <w:pPr>
        <w:rPr>
          <w:rFonts w:ascii="Arial" w:hAnsi="Arial" w:cs="Arial"/>
          <w:b/>
          <w:i/>
        </w:rPr>
      </w:pPr>
      <w:r w:rsidRPr="00D53A29">
        <w:rPr>
          <w:rFonts w:ascii="Arial" w:hAnsi="Arial" w:cs="Arial"/>
          <w:b/>
          <w:i/>
        </w:rPr>
        <w:t xml:space="preserve">Z novim letom so v uporabi nova usklajena pravila o </w:t>
      </w:r>
      <w:proofErr w:type="spellStart"/>
      <w:r w:rsidRPr="00D53A29">
        <w:rPr>
          <w:rFonts w:ascii="Arial" w:hAnsi="Arial" w:cs="Arial"/>
          <w:b/>
          <w:i/>
        </w:rPr>
        <w:t>listinjenju</w:t>
      </w:r>
      <w:proofErr w:type="spellEnd"/>
      <w:r w:rsidRPr="00D53A29">
        <w:rPr>
          <w:rFonts w:ascii="Arial" w:hAnsi="Arial" w:cs="Arial"/>
          <w:b/>
          <w:i/>
        </w:rPr>
        <w:t xml:space="preserve">, katerih namen je zagotoviti dodatne vire financiranja za podjetja, krepiti sposobnost bank za podporo gospodarstvu ter porazdeliti tveganja med udeleženci trga. Evropska Komisija je septembra 2015 predlagala nova pravila za enostavno, pregledno in standardizirano </w:t>
      </w:r>
      <w:proofErr w:type="spellStart"/>
      <w:r w:rsidRPr="00D53A29">
        <w:rPr>
          <w:rFonts w:ascii="Arial" w:hAnsi="Arial" w:cs="Arial"/>
          <w:b/>
          <w:i/>
        </w:rPr>
        <w:t>listinjenje</w:t>
      </w:r>
      <w:proofErr w:type="spellEnd"/>
      <w:r w:rsidRPr="00D53A29">
        <w:rPr>
          <w:rFonts w:ascii="Arial" w:hAnsi="Arial" w:cs="Arial"/>
          <w:b/>
          <w:i/>
        </w:rPr>
        <w:t xml:space="preserve"> v okviru akcijskega načrta za unijo kapitalskih trgov. Po tedanjih ocenah bi z izdajanjem </w:t>
      </w:r>
      <w:proofErr w:type="spellStart"/>
      <w:r w:rsidRPr="00D53A29">
        <w:rPr>
          <w:rFonts w:ascii="Arial" w:hAnsi="Arial" w:cs="Arial"/>
          <w:b/>
          <w:i/>
        </w:rPr>
        <w:t>listinjenih</w:t>
      </w:r>
      <w:proofErr w:type="spellEnd"/>
      <w:r w:rsidRPr="00D53A29">
        <w:rPr>
          <w:rFonts w:ascii="Arial" w:hAnsi="Arial" w:cs="Arial"/>
          <w:b/>
          <w:i/>
        </w:rPr>
        <w:t xml:space="preserve"> vrednostnih papirjev v EU, če bi ponovno dosegli povprečje iz obdobja pred krizo, lahko ustvarili približno 150 milijard evrov dodatnih sredstev za financiranje gospodarstva.</w:t>
      </w:r>
    </w:p>
    <w:p w:rsidR="00C36540" w:rsidRPr="00D53A29" w:rsidRDefault="00C36540" w:rsidP="00D53A29">
      <w:pPr>
        <w:rPr>
          <w:rFonts w:ascii="Arial" w:hAnsi="Arial" w:cs="Arial"/>
          <w:sz w:val="20"/>
          <w:szCs w:val="20"/>
        </w:rPr>
      </w:pPr>
      <w:r w:rsidRPr="00D53A29">
        <w:rPr>
          <w:rFonts w:ascii="Arial" w:hAnsi="Arial" w:cs="Arial"/>
          <w:sz w:val="20"/>
          <w:szCs w:val="20"/>
        </w:rPr>
        <w:t xml:space="preserve">Evropska komisija posebej opozarja, da novi pravni okvir EU nima nikakršne zveze z </w:t>
      </w:r>
      <w:proofErr w:type="spellStart"/>
      <w:r w:rsidRPr="00D53A29">
        <w:rPr>
          <w:rFonts w:ascii="Arial" w:hAnsi="Arial" w:cs="Arial"/>
          <w:sz w:val="20"/>
          <w:szCs w:val="20"/>
        </w:rPr>
        <w:t>listinjenjem</w:t>
      </w:r>
      <w:proofErr w:type="spellEnd"/>
      <w:r w:rsidRPr="00D53A29">
        <w:rPr>
          <w:rFonts w:ascii="Arial" w:hAnsi="Arial" w:cs="Arial"/>
          <w:sz w:val="20"/>
          <w:szCs w:val="20"/>
        </w:rPr>
        <w:t xml:space="preserve"> drugorazrednih hipotekarnih posojil, ki jih izdajali v ZDA in so pripomogli k nastanku finančne krize leta 2008. Evropska komisija zagotavlja, da ne načrtuje vrnitve v čase nejasnih in kompleksnih drugorazrednih instrumentov. Po njenih besedah nova pravila jasno razlikujejo med enostavnimi in preglednejšimi produkti </w:t>
      </w:r>
      <w:proofErr w:type="spellStart"/>
      <w:r w:rsidRPr="00D53A29">
        <w:rPr>
          <w:rFonts w:ascii="Arial" w:hAnsi="Arial" w:cs="Arial"/>
          <w:sz w:val="20"/>
          <w:szCs w:val="20"/>
        </w:rPr>
        <w:t>listinjenja</w:t>
      </w:r>
      <w:proofErr w:type="spellEnd"/>
      <w:r w:rsidRPr="00D53A29">
        <w:rPr>
          <w:rFonts w:ascii="Arial" w:hAnsi="Arial" w:cs="Arial"/>
          <w:sz w:val="20"/>
          <w:szCs w:val="20"/>
        </w:rPr>
        <w:t xml:space="preserve"> in drugimi produkti, ki ne izpolnjujejo takšnih meril. </w:t>
      </w:r>
    </w:p>
    <w:p w:rsidR="00C36540" w:rsidRPr="00D53A29" w:rsidRDefault="00C36540" w:rsidP="00D53A29">
      <w:pPr>
        <w:rPr>
          <w:rFonts w:ascii="Arial" w:hAnsi="Arial" w:cs="Arial"/>
          <w:sz w:val="20"/>
          <w:szCs w:val="20"/>
        </w:rPr>
      </w:pPr>
      <w:r w:rsidRPr="00D53A29">
        <w:rPr>
          <w:rFonts w:ascii="Arial" w:hAnsi="Arial" w:cs="Arial"/>
          <w:sz w:val="20"/>
          <w:szCs w:val="20"/>
        </w:rPr>
        <w:t xml:space="preserve">Nova uredba o </w:t>
      </w:r>
      <w:proofErr w:type="spellStart"/>
      <w:r w:rsidRPr="00D53A29">
        <w:rPr>
          <w:rFonts w:ascii="Arial" w:hAnsi="Arial" w:cs="Arial"/>
          <w:sz w:val="20"/>
          <w:szCs w:val="20"/>
        </w:rPr>
        <w:t>listinjenju</w:t>
      </w:r>
      <w:proofErr w:type="spellEnd"/>
      <w:r w:rsidRPr="00D53A29">
        <w:rPr>
          <w:rFonts w:ascii="Arial" w:hAnsi="Arial" w:cs="Arial"/>
          <w:sz w:val="20"/>
          <w:szCs w:val="20"/>
        </w:rPr>
        <w:t xml:space="preserve"> se v veliki meri opira na delo mednarodne nadzorne skupnosti ter določa skupna pravila in sklop meril za enostavno, pregledno in standardizirano </w:t>
      </w:r>
      <w:proofErr w:type="spellStart"/>
      <w:r w:rsidRPr="00D53A29">
        <w:rPr>
          <w:rFonts w:ascii="Arial" w:hAnsi="Arial" w:cs="Arial"/>
          <w:sz w:val="20"/>
          <w:szCs w:val="20"/>
        </w:rPr>
        <w:t>listinjenje</w:t>
      </w:r>
      <w:proofErr w:type="spellEnd"/>
      <w:r w:rsidRPr="00D53A29">
        <w:rPr>
          <w:rFonts w:ascii="Arial" w:hAnsi="Arial" w:cs="Arial"/>
          <w:sz w:val="20"/>
          <w:szCs w:val="20"/>
        </w:rPr>
        <w:t xml:space="preserve"> v EU.</w:t>
      </w:r>
    </w:p>
    <w:p w:rsidR="00C36540" w:rsidRPr="00D53A29" w:rsidRDefault="00C36540" w:rsidP="00D53A29">
      <w:pPr>
        <w:rPr>
          <w:rFonts w:ascii="Arial" w:hAnsi="Arial" w:cs="Arial"/>
          <w:sz w:val="20"/>
          <w:szCs w:val="20"/>
        </w:rPr>
      </w:pPr>
      <w:r w:rsidRPr="00D53A29">
        <w:rPr>
          <w:rFonts w:ascii="Arial" w:hAnsi="Arial" w:cs="Arial"/>
          <w:sz w:val="20"/>
          <w:szCs w:val="20"/>
        </w:rPr>
        <w:t xml:space="preserve">V letu 2019 bo stopilo v veljavo še več novih finančnih pravil. V nedeljo, 13. </w:t>
      </w:r>
      <w:r w:rsidR="00D53A29">
        <w:rPr>
          <w:rFonts w:ascii="Arial" w:hAnsi="Arial" w:cs="Arial"/>
          <w:sz w:val="20"/>
          <w:szCs w:val="20"/>
        </w:rPr>
        <w:t>j</w:t>
      </w:r>
      <w:r w:rsidRPr="00D53A29">
        <w:rPr>
          <w:rFonts w:ascii="Arial" w:hAnsi="Arial" w:cs="Arial"/>
          <w:sz w:val="20"/>
          <w:szCs w:val="20"/>
        </w:rPr>
        <w:t xml:space="preserve">anuarja, je začela veljati revidirana direktiva o poklicnih pokojninskih skladih, znana kot IORP2. Revidirana direktiva o pravicah delničarjev bo začela veljati 10. junija 2019. Nova uredba o prospektu bo začela veljati 21. julija 2019. Pravila o močni </w:t>
      </w:r>
      <w:proofErr w:type="spellStart"/>
      <w:r w:rsidRPr="00D53A29">
        <w:rPr>
          <w:rFonts w:ascii="Arial" w:hAnsi="Arial" w:cs="Arial"/>
          <w:sz w:val="20"/>
          <w:szCs w:val="20"/>
        </w:rPr>
        <w:t>avtentikaciji</w:t>
      </w:r>
      <w:proofErr w:type="spellEnd"/>
      <w:r w:rsidRPr="00D53A29">
        <w:rPr>
          <w:rFonts w:ascii="Arial" w:hAnsi="Arial" w:cs="Arial"/>
          <w:sz w:val="20"/>
          <w:szCs w:val="20"/>
        </w:rPr>
        <w:t xml:space="preserve"> potrošnikov, ki naj bi zagotovila varnejša elektronska plačila v trgovinah in na spletu, bodo začela veljati 14. septembra 2019.</w:t>
      </w:r>
      <w:r w:rsidR="00D53A29">
        <w:rPr>
          <w:rFonts w:ascii="Arial" w:hAnsi="Arial" w:cs="Arial"/>
          <w:sz w:val="20"/>
          <w:szCs w:val="20"/>
        </w:rPr>
        <w:t xml:space="preserve"> Člani lahko dobijo dodatne informacije o vseh novih finančnih pravilih, ki so in bodo stopila v veljavo letos, dobijo na SBRA.</w:t>
      </w:r>
    </w:p>
    <w:p w:rsidR="00C36540" w:rsidRPr="00D53A29" w:rsidRDefault="00C36540" w:rsidP="00D53A29">
      <w:pPr>
        <w:rPr>
          <w:rFonts w:ascii="Arial" w:hAnsi="Arial" w:cs="Arial"/>
          <w:b/>
          <w:sz w:val="20"/>
          <w:szCs w:val="20"/>
        </w:rPr>
      </w:pPr>
      <w:r w:rsidRPr="00D53A29">
        <w:rPr>
          <w:rFonts w:ascii="Arial" w:hAnsi="Arial" w:cs="Arial"/>
          <w:b/>
          <w:sz w:val="20"/>
          <w:szCs w:val="20"/>
        </w:rPr>
        <w:t>Koristne informacije:</w:t>
      </w:r>
    </w:p>
    <w:p w:rsidR="00C36540" w:rsidRPr="00D53A29" w:rsidRDefault="00DB64B4" w:rsidP="00D53A29">
      <w:pPr>
        <w:pStyle w:val="Odstavekseznama"/>
        <w:numPr>
          <w:ilvl w:val="0"/>
          <w:numId w:val="2"/>
        </w:numPr>
        <w:rPr>
          <w:rFonts w:ascii="Arial" w:hAnsi="Arial" w:cs="Arial"/>
          <w:sz w:val="20"/>
          <w:szCs w:val="20"/>
        </w:rPr>
      </w:pPr>
      <w:r w:rsidRPr="00D53A29">
        <w:rPr>
          <w:rFonts w:ascii="Arial" w:hAnsi="Arial" w:cs="Arial"/>
          <w:sz w:val="20"/>
          <w:szCs w:val="20"/>
        </w:rPr>
        <w:t xml:space="preserve">Nova uredba o </w:t>
      </w:r>
      <w:proofErr w:type="spellStart"/>
      <w:r w:rsidRPr="00D53A29">
        <w:rPr>
          <w:rFonts w:ascii="Arial" w:hAnsi="Arial" w:cs="Arial"/>
          <w:sz w:val="20"/>
          <w:szCs w:val="20"/>
        </w:rPr>
        <w:t>listninjenju</w:t>
      </w:r>
      <w:proofErr w:type="spellEnd"/>
      <w:r w:rsidRPr="00D53A29">
        <w:rPr>
          <w:rFonts w:ascii="Arial" w:hAnsi="Arial" w:cs="Arial"/>
          <w:sz w:val="20"/>
          <w:szCs w:val="20"/>
        </w:rPr>
        <w:t>:</w:t>
      </w:r>
    </w:p>
    <w:p w:rsidR="00DB64B4" w:rsidRPr="00D53A29" w:rsidRDefault="00DB64B4" w:rsidP="00D53A29">
      <w:pPr>
        <w:pStyle w:val="Odstavekseznama"/>
        <w:numPr>
          <w:ilvl w:val="0"/>
          <w:numId w:val="2"/>
        </w:numPr>
        <w:rPr>
          <w:rFonts w:ascii="Arial" w:hAnsi="Arial" w:cs="Arial"/>
          <w:sz w:val="20"/>
          <w:szCs w:val="20"/>
        </w:rPr>
      </w:pPr>
      <w:hyperlink r:id="rId6" w:history="1">
        <w:r w:rsidRPr="00D53A29">
          <w:rPr>
            <w:rStyle w:val="Hiperpovezava"/>
            <w:rFonts w:ascii="Arial" w:hAnsi="Arial" w:cs="Arial"/>
            <w:sz w:val="20"/>
            <w:szCs w:val="20"/>
          </w:rPr>
          <w:t>https://eur-lex.europa.eu/legal-content/SL/TXT/?uri=CELEX%3A32017R2402</w:t>
        </w:r>
      </w:hyperlink>
    </w:p>
    <w:p w:rsidR="00DB64B4" w:rsidRPr="00D53A29" w:rsidRDefault="00DB64B4" w:rsidP="00D53A29">
      <w:pPr>
        <w:pStyle w:val="Odstavekseznama"/>
        <w:numPr>
          <w:ilvl w:val="0"/>
          <w:numId w:val="2"/>
        </w:numPr>
        <w:rPr>
          <w:rFonts w:ascii="Arial" w:hAnsi="Arial" w:cs="Arial"/>
          <w:sz w:val="20"/>
          <w:szCs w:val="20"/>
        </w:rPr>
      </w:pPr>
      <w:r w:rsidRPr="00D53A29">
        <w:rPr>
          <w:rFonts w:ascii="Arial" w:hAnsi="Arial" w:cs="Arial"/>
          <w:sz w:val="20"/>
          <w:szCs w:val="20"/>
        </w:rPr>
        <w:t xml:space="preserve">Spletna stran Evropske komisije z informacijami o </w:t>
      </w:r>
      <w:proofErr w:type="spellStart"/>
      <w:r w:rsidRPr="00D53A29">
        <w:rPr>
          <w:rFonts w:ascii="Arial" w:hAnsi="Arial" w:cs="Arial"/>
          <w:sz w:val="20"/>
          <w:szCs w:val="20"/>
        </w:rPr>
        <w:t>listninjenju</w:t>
      </w:r>
      <w:proofErr w:type="spellEnd"/>
      <w:r w:rsidRPr="00D53A29">
        <w:rPr>
          <w:rFonts w:ascii="Arial" w:hAnsi="Arial" w:cs="Arial"/>
          <w:sz w:val="20"/>
          <w:szCs w:val="20"/>
        </w:rPr>
        <w:t>:</w:t>
      </w:r>
    </w:p>
    <w:p w:rsidR="00DB64B4" w:rsidRPr="00D53A29" w:rsidRDefault="00DB64B4" w:rsidP="00D53A29">
      <w:pPr>
        <w:pStyle w:val="Odstavekseznama"/>
        <w:numPr>
          <w:ilvl w:val="0"/>
          <w:numId w:val="2"/>
        </w:numPr>
        <w:rPr>
          <w:rFonts w:ascii="Arial" w:hAnsi="Arial" w:cs="Arial"/>
          <w:sz w:val="20"/>
          <w:szCs w:val="20"/>
        </w:rPr>
      </w:pPr>
      <w:hyperlink r:id="rId7" w:history="1">
        <w:r w:rsidRPr="00D53A29">
          <w:rPr>
            <w:rStyle w:val="Hiperpovezava"/>
            <w:rFonts w:ascii="Arial" w:hAnsi="Arial" w:cs="Arial"/>
            <w:sz w:val="20"/>
            <w:szCs w:val="20"/>
          </w:rPr>
          <w:t>https://ec.europa.eu/info/business-economy-euro/banking-and-finance/financial-markets/securities-markets/securitisation_en</w:t>
        </w:r>
      </w:hyperlink>
    </w:p>
    <w:p w:rsidR="00DB64B4" w:rsidRPr="00D53A29" w:rsidRDefault="00DB64B4" w:rsidP="00D53A29">
      <w:pPr>
        <w:rPr>
          <w:rFonts w:ascii="Arial" w:hAnsi="Arial" w:cs="Arial"/>
          <w:sz w:val="20"/>
          <w:szCs w:val="20"/>
        </w:rPr>
      </w:pPr>
      <w:r w:rsidRPr="00D53A29">
        <w:rPr>
          <w:rFonts w:ascii="Arial" w:hAnsi="Arial" w:cs="Arial"/>
          <w:sz w:val="20"/>
          <w:szCs w:val="20"/>
        </w:rPr>
        <w:t>Pripravila:</w:t>
      </w:r>
    </w:p>
    <w:p w:rsidR="00DB64B4" w:rsidRPr="00D53A29" w:rsidRDefault="00DB64B4" w:rsidP="00D53A29">
      <w:pPr>
        <w:rPr>
          <w:rFonts w:ascii="Arial" w:hAnsi="Arial" w:cs="Arial"/>
          <w:sz w:val="20"/>
          <w:szCs w:val="20"/>
        </w:rPr>
      </w:pPr>
      <w:r w:rsidRPr="00D53A29">
        <w:rPr>
          <w:rFonts w:ascii="Arial" w:hAnsi="Arial" w:cs="Arial"/>
          <w:sz w:val="20"/>
          <w:szCs w:val="20"/>
        </w:rPr>
        <w:t>Darja Kocbek</w:t>
      </w:r>
    </w:p>
    <w:p w:rsidR="00C36540" w:rsidRPr="00C36540" w:rsidRDefault="00C36540"/>
    <w:sectPr w:rsidR="00C36540" w:rsidRPr="00C3654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B2768"/>
    <w:multiLevelType w:val="hybridMultilevel"/>
    <w:tmpl w:val="D8FE2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FC34271"/>
    <w:multiLevelType w:val="multilevel"/>
    <w:tmpl w:val="DAA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6540"/>
    <w:rsid w:val="001E6BF7"/>
    <w:rsid w:val="00B459D4"/>
    <w:rsid w:val="00C36540"/>
    <w:rsid w:val="00D53A29"/>
    <w:rsid w:val="00DB64B4"/>
    <w:rsid w:val="00FE22C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36540"/>
  </w:style>
  <w:style w:type="paragraph" w:styleId="Naslov2">
    <w:name w:val="heading 2"/>
    <w:basedOn w:val="Navaden"/>
    <w:next w:val="Navaden"/>
    <w:link w:val="Naslov2Znak"/>
    <w:rsid w:val="00FE22C0"/>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36540"/>
    <w:rPr>
      <w:color w:val="0000FF"/>
      <w:u w:val="single"/>
    </w:rPr>
  </w:style>
  <w:style w:type="character" w:styleId="Krepko">
    <w:name w:val="Strong"/>
    <w:basedOn w:val="Privzetapisavaodstavka"/>
    <w:uiPriority w:val="22"/>
    <w:qFormat/>
    <w:rsid w:val="00C36540"/>
    <w:rPr>
      <w:b/>
      <w:bCs/>
    </w:rPr>
  </w:style>
  <w:style w:type="paragraph" w:styleId="Odstavekseznama">
    <w:name w:val="List Paragraph"/>
    <w:basedOn w:val="Navaden"/>
    <w:uiPriority w:val="34"/>
    <w:qFormat/>
    <w:rsid w:val="00D53A29"/>
    <w:pPr>
      <w:ind w:left="720"/>
      <w:contextualSpacing/>
    </w:pPr>
  </w:style>
  <w:style w:type="character" w:customStyle="1" w:styleId="Naslov2Znak">
    <w:name w:val="Naslov 2 Znak"/>
    <w:basedOn w:val="Privzetapisavaodstavka"/>
    <w:link w:val="Naslov2"/>
    <w:rsid w:val="00FE22C0"/>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FE22C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2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0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business-economy-euro/banking-and-finance/financial-markets/securities-markets/securitis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uri=CELEX%3A32017R240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2019-01-08T13:30:00Z</dcterms:created>
  <dcterms:modified xsi:type="dcterms:W3CDTF">2019-01-08T13:52:00Z</dcterms:modified>
</cp:coreProperties>
</file>