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1EC" w:rsidRPr="00467345" w:rsidRDefault="004A31EC" w:rsidP="004A31EC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3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31EC" w:rsidRPr="00083714" w:rsidRDefault="004A31EC" w:rsidP="004A31EC">
      <w:pPr>
        <w:pStyle w:val="Naslov2"/>
        <w:tabs>
          <w:tab w:val="left" w:pos="3120"/>
        </w:tabs>
        <w:spacing w:before="24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4A31EC" w:rsidRPr="00083714" w:rsidRDefault="004A31EC" w:rsidP="004A31EC">
      <w:pPr>
        <w:pBdr>
          <w:bottom w:val="single" w:sz="6" w:space="1" w:color="auto"/>
        </w:pBdr>
        <w:tabs>
          <w:tab w:val="left" w:pos="3120"/>
        </w:tabs>
        <w:spacing w:before="240"/>
        <w:jc w:val="center"/>
        <w:rPr>
          <w:sz w:val="16"/>
          <w:szCs w:val="16"/>
        </w:rPr>
      </w:pPr>
    </w:p>
    <w:p w:rsidR="004A31EC" w:rsidRDefault="004A31EC" w:rsidP="004A31EC">
      <w:pPr>
        <w:tabs>
          <w:tab w:val="left" w:pos="3120"/>
        </w:tabs>
        <w:spacing w:before="240"/>
        <w:rPr>
          <w:b/>
        </w:rPr>
      </w:pPr>
      <w:r w:rsidRPr="00083714">
        <w:rPr>
          <w:b/>
        </w:rPr>
        <w:tab/>
      </w:r>
      <w:r>
        <w:rPr>
          <w:b/>
        </w:rPr>
        <w:t xml:space="preserve">Občasna informacija članom 04 </w:t>
      </w:r>
      <w:r w:rsidRPr="00083714">
        <w:rPr>
          <w:b/>
        </w:rPr>
        <w:t>– 20</w:t>
      </w:r>
      <w:r>
        <w:rPr>
          <w:b/>
        </w:rPr>
        <w:t>22</w:t>
      </w:r>
    </w:p>
    <w:p w:rsidR="004A31EC" w:rsidRPr="0084452F" w:rsidRDefault="004A31EC" w:rsidP="004A31EC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03. januar </w:t>
      </w:r>
      <w:r w:rsidRPr="00083714">
        <w:rPr>
          <w:b/>
        </w:rPr>
        <w:t xml:space="preserve"> 20</w:t>
      </w:r>
      <w:r>
        <w:rPr>
          <w:b/>
        </w:rPr>
        <w:t>22</w:t>
      </w:r>
    </w:p>
    <w:p w:rsidR="006565BA" w:rsidRDefault="004A31EC" w:rsidP="004A31EC">
      <w:pPr>
        <w:jc w:val="center"/>
        <w:rPr>
          <w:rFonts w:ascii="Arial" w:hAnsi="Arial" w:cs="Arial"/>
          <w:sz w:val="20"/>
          <w:szCs w:val="20"/>
        </w:rPr>
      </w:pPr>
      <w:r>
        <w:rPr>
          <w:b/>
          <w:color w:val="993300"/>
          <w:sz w:val="32"/>
          <w:szCs w:val="32"/>
        </w:rPr>
        <w:t>Razpisi programa Obzorje Evropa za izvajanje misij in napoved informativnih dni o razpisih</w:t>
      </w:r>
    </w:p>
    <w:p w:rsidR="00AA1A00" w:rsidRPr="004A31EC" w:rsidRDefault="00890295" w:rsidP="00AA7CDB">
      <w:pPr>
        <w:jc w:val="both"/>
        <w:rPr>
          <w:rFonts w:ascii="Arial" w:hAnsi="Arial" w:cs="Arial"/>
          <w:b/>
          <w:i/>
        </w:rPr>
      </w:pPr>
      <w:r w:rsidRPr="004A31EC">
        <w:rPr>
          <w:rFonts w:ascii="Arial" w:hAnsi="Arial" w:cs="Arial"/>
          <w:b/>
          <w:i/>
        </w:rPr>
        <w:t>Objavljeni so prvi trije razpisi programa Obzorje Evrope</w:t>
      </w:r>
      <w:r w:rsidR="00FF3784" w:rsidRPr="004A31EC">
        <w:rPr>
          <w:rFonts w:ascii="Arial" w:hAnsi="Arial" w:cs="Arial"/>
          <w:b/>
          <w:i/>
        </w:rPr>
        <w:t xml:space="preserve"> za izvajanje misije EU za boj proti raku. Rok za oddajo prijav projektov se izteče 26. aprila 2022. Vseh razpisov za izvajanje misij programa Obzorje Evrope je 19.</w:t>
      </w:r>
      <w:r w:rsidR="00B63850" w:rsidRPr="004A31EC">
        <w:rPr>
          <w:rFonts w:ascii="Arial" w:hAnsi="Arial" w:cs="Arial"/>
          <w:b/>
          <w:i/>
        </w:rPr>
        <w:t xml:space="preserve"> Druga skupina bo objavljena 11. januarja 2022.</w:t>
      </w:r>
      <w:r w:rsidR="00FF3784" w:rsidRPr="004A31EC">
        <w:rPr>
          <w:rFonts w:ascii="Arial" w:hAnsi="Arial" w:cs="Arial"/>
          <w:b/>
          <w:i/>
        </w:rPr>
        <w:t xml:space="preserve"> Predstavniki Evropske komisije jih bodo 18. in 19. januarja 2022 predstavili na spletnem informativnem dnevu. Člani lahko dobijo več informacij tudi na SBRA.</w:t>
      </w:r>
    </w:p>
    <w:p w:rsidR="00FF3784" w:rsidRPr="00AA7CDB" w:rsidRDefault="00FF3784" w:rsidP="00AA7CDB">
      <w:pPr>
        <w:jc w:val="both"/>
        <w:rPr>
          <w:rFonts w:ascii="Arial" w:hAnsi="Arial" w:cs="Arial"/>
          <w:sz w:val="20"/>
          <w:szCs w:val="20"/>
        </w:rPr>
      </w:pPr>
      <w:r w:rsidRPr="00AA7CDB">
        <w:rPr>
          <w:rFonts w:ascii="Arial" w:hAnsi="Arial" w:cs="Arial"/>
          <w:sz w:val="20"/>
          <w:szCs w:val="20"/>
        </w:rPr>
        <w:t xml:space="preserve">Cilj misije za boj proti raku je optimizirati diagnostiko in zdravljenje ter podpirati kakovost življenja bolnikov z rakom. Osredotoča se tudi na preprečevanje te življenjsko nevarne bolezni, ki prizadene milijone ljudi v EU. </w:t>
      </w:r>
    </w:p>
    <w:p w:rsidR="00FF3784" w:rsidRPr="00AA7CDB" w:rsidRDefault="00221F42" w:rsidP="00AA7CDB">
      <w:pPr>
        <w:jc w:val="both"/>
        <w:rPr>
          <w:rFonts w:ascii="Arial" w:hAnsi="Arial" w:cs="Arial"/>
          <w:sz w:val="20"/>
          <w:szCs w:val="20"/>
        </w:rPr>
      </w:pPr>
      <w:r w:rsidRPr="00AA7CDB">
        <w:rPr>
          <w:rFonts w:ascii="Arial" w:hAnsi="Arial" w:cs="Arial"/>
          <w:sz w:val="20"/>
          <w:szCs w:val="20"/>
        </w:rPr>
        <w:t>Te</w:t>
      </w:r>
      <w:r w:rsidR="00FF3784" w:rsidRPr="00AA7CDB">
        <w:rPr>
          <w:rFonts w:ascii="Arial" w:hAnsi="Arial" w:cs="Arial"/>
          <w:sz w:val="20"/>
          <w:szCs w:val="20"/>
        </w:rPr>
        <w:t>ma prvega razpisa je Razvoj novih metod</w:t>
      </w:r>
      <w:r w:rsidRPr="00AA7CDB">
        <w:rPr>
          <w:rFonts w:ascii="Arial" w:hAnsi="Arial" w:cs="Arial"/>
          <w:sz w:val="20"/>
          <w:szCs w:val="20"/>
        </w:rPr>
        <w:t xml:space="preserve"> in tehnologij za presajanje in zgodnje odkrivanje raka. Prek drugega razpisa Evropska komisija pričakuje predloge projektov za razvoj meril kakovosti življenja za bolnike z rakom in tiste, ki so raka premagali. Boljše razumevanje vpliva dejavnikov tveganja in zdravstvenih dejavnikov na razvoj in napredovanje raka je tema tretjega razpisa.</w:t>
      </w:r>
    </w:p>
    <w:p w:rsidR="00B63850" w:rsidRPr="00AA7CDB" w:rsidRDefault="00B63850" w:rsidP="00AA7CDB">
      <w:pPr>
        <w:jc w:val="both"/>
        <w:rPr>
          <w:rFonts w:ascii="Arial" w:hAnsi="Arial" w:cs="Arial"/>
          <w:b/>
          <w:sz w:val="20"/>
          <w:szCs w:val="20"/>
        </w:rPr>
      </w:pPr>
      <w:r w:rsidRPr="00AA7CDB">
        <w:rPr>
          <w:rFonts w:ascii="Arial" w:hAnsi="Arial" w:cs="Arial"/>
          <w:b/>
          <w:sz w:val="20"/>
          <w:szCs w:val="20"/>
        </w:rPr>
        <w:t>Tabela 1: Sredstva za misije programa Obzorje Evropa 2021</w:t>
      </w:r>
    </w:p>
    <w:tbl>
      <w:tblPr>
        <w:tblStyle w:val="Tabela-mrea"/>
        <w:tblW w:w="0" w:type="auto"/>
        <w:tblLook w:val="04A0"/>
      </w:tblPr>
      <w:tblGrid>
        <w:gridCol w:w="4606"/>
        <w:gridCol w:w="4606"/>
      </w:tblGrid>
      <w:tr w:rsidR="00B63850" w:rsidRPr="00AA7CDB" w:rsidTr="00B63850">
        <w:tc>
          <w:tcPr>
            <w:tcW w:w="4606" w:type="dxa"/>
          </w:tcPr>
          <w:p w:rsidR="00B63850" w:rsidRPr="00AA7CDB" w:rsidRDefault="00B63850" w:rsidP="00AA7CD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A7CDB">
              <w:rPr>
                <w:rFonts w:ascii="Arial" w:hAnsi="Arial" w:cs="Arial"/>
                <w:b/>
                <w:sz w:val="20"/>
                <w:szCs w:val="20"/>
              </w:rPr>
              <w:t>Misija</w:t>
            </w:r>
          </w:p>
        </w:tc>
        <w:tc>
          <w:tcPr>
            <w:tcW w:w="4606" w:type="dxa"/>
          </w:tcPr>
          <w:p w:rsidR="00B63850" w:rsidRPr="00AA7CDB" w:rsidRDefault="00B63850" w:rsidP="00AA7CD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A7CDB">
              <w:rPr>
                <w:rFonts w:ascii="Arial" w:hAnsi="Arial" w:cs="Arial"/>
                <w:b/>
                <w:sz w:val="20"/>
                <w:szCs w:val="20"/>
              </w:rPr>
              <w:t>Znesek v evrih</w:t>
            </w:r>
          </w:p>
        </w:tc>
      </w:tr>
      <w:tr w:rsidR="00B63850" w:rsidRPr="00AA7CDB" w:rsidTr="00B63850">
        <w:tc>
          <w:tcPr>
            <w:tcW w:w="4606" w:type="dxa"/>
          </w:tcPr>
          <w:p w:rsidR="00B63850" w:rsidRPr="00AA7CDB" w:rsidRDefault="00B63850" w:rsidP="00AA7C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7CDB">
              <w:rPr>
                <w:rFonts w:ascii="Arial" w:hAnsi="Arial" w:cs="Arial"/>
                <w:sz w:val="20"/>
                <w:szCs w:val="20"/>
              </w:rPr>
              <w:t>Prilagajanje podnebnim spremembam, vključno s preobrazbo družbe</w:t>
            </w:r>
          </w:p>
          <w:p w:rsidR="00B63850" w:rsidRPr="00AA7CDB" w:rsidRDefault="00B63850" w:rsidP="00AA7C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6" w:type="dxa"/>
          </w:tcPr>
          <w:p w:rsidR="00B63850" w:rsidRPr="00AA7CDB" w:rsidRDefault="00B63850" w:rsidP="00AA7C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7CDB">
              <w:rPr>
                <w:rFonts w:ascii="Arial" w:hAnsi="Arial" w:cs="Arial"/>
                <w:sz w:val="20"/>
                <w:szCs w:val="20"/>
              </w:rPr>
              <w:t>122,38</w:t>
            </w:r>
          </w:p>
        </w:tc>
      </w:tr>
      <w:tr w:rsidR="00B63850" w:rsidRPr="00AA7CDB" w:rsidTr="00B63850">
        <w:tc>
          <w:tcPr>
            <w:tcW w:w="4606" w:type="dxa"/>
          </w:tcPr>
          <w:p w:rsidR="00B63850" w:rsidRPr="00AA7CDB" w:rsidRDefault="00B63850" w:rsidP="00AA7C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7CDB">
              <w:rPr>
                <w:rFonts w:ascii="Arial" w:hAnsi="Arial" w:cs="Arial"/>
                <w:sz w:val="20"/>
                <w:szCs w:val="20"/>
              </w:rPr>
              <w:t>Boj proti raku</w:t>
            </w:r>
          </w:p>
        </w:tc>
        <w:tc>
          <w:tcPr>
            <w:tcW w:w="4606" w:type="dxa"/>
          </w:tcPr>
          <w:p w:rsidR="00B63850" w:rsidRPr="00AA7CDB" w:rsidRDefault="00B63850" w:rsidP="00AA7C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7CDB">
              <w:rPr>
                <w:rFonts w:ascii="Arial" w:hAnsi="Arial" w:cs="Arial"/>
                <w:sz w:val="20"/>
                <w:szCs w:val="20"/>
              </w:rPr>
              <w:t>125,65</w:t>
            </w:r>
          </w:p>
        </w:tc>
      </w:tr>
      <w:tr w:rsidR="00B63850" w:rsidRPr="00AA7CDB" w:rsidTr="00B63850">
        <w:tc>
          <w:tcPr>
            <w:tcW w:w="4606" w:type="dxa"/>
          </w:tcPr>
          <w:p w:rsidR="00B63850" w:rsidRPr="00AA7CDB" w:rsidRDefault="00B63850" w:rsidP="00AA7C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7CDB">
              <w:rPr>
                <w:rFonts w:ascii="Arial" w:hAnsi="Arial" w:cs="Arial"/>
                <w:sz w:val="20"/>
                <w:szCs w:val="20"/>
              </w:rPr>
              <w:t>Zdravi oceani, morja, obalne in celinske vode</w:t>
            </w:r>
          </w:p>
        </w:tc>
        <w:tc>
          <w:tcPr>
            <w:tcW w:w="4606" w:type="dxa"/>
          </w:tcPr>
          <w:p w:rsidR="00B63850" w:rsidRPr="00AA7CDB" w:rsidRDefault="00B63850" w:rsidP="00AA7C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7CDB">
              <w:rPr>
                <w:rFonts w:ascii="Arial" w:hAnsi="Arial" w:cs="Arial"/>
                <w:sz w:val="20"/>
                <w:szCs w:val="20"/>
              </w:rPr>
              <w:t>114,34</w:t>
            </w:r>
          </w:p>
        </w:tc>
      </w:tr>
      <w:tr w:rsidR="00B63850" w:rsidRPr="00AA7CDB" w:rsidTr="00B63850">
        <w:tc>
          <w:tcPr>
            <w:tcW w:w="4606" w:type="dxa"/>
          </w:tcPr>
          <w:p w:rsidR="00B63850" w:rsidRPr="00AA7CDB" w:rsidRDefault="00B63850" w:rsidP="00AA7C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7CDB">
              <w:rPr>
                <w:rFonts w:ascii="Arial" w:hAnsi="Arial" w:cs="Arial"/>
                <w:sz w:val="20"/>
                <w:szCs w:val="20"/>
              </w:rPr>
              <w:t>Podnebno nevtralna in pametna mesta</w:t>
            </w:r>
          </w:p>
        </w:tc>
        <w:tc>
          <w:tcPr>
            <w:tcW w:w="4606" w:type="dxa"/>
          </w:tcPr>
          <w:p w:rsidR="00B63850" w:rsidRPr="00AA7CDB" w:rsidRDefault="00E90795" w:rsidP="00AA7C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7CDB">
              <w:rPr>
                <w:rFonts w:ascii="Arial" w:hAnsi="Arial" w:cs="Arial"/>
                <w:sz w:val="20"/>
                <w:szCs w:val="20"/>
              </w:rPr>
              <w:t>119,37</w:t>
            </w:r>
          </w:p>
        </w:tc>
      </w:tr>
      <w:tr w:rsidR="00B63850" w:rsidRPr="00AA7CDB" w:rsidTr="00B63850">
        <w:tc>
          <w:tcPr>
            <w:tcW w:w="4606" w:type="dxa"/>
          </w:tcPr>
          <w:p w:rsidR="00B63850" w:rsidRPr="00AA7CDB" w:rsidRDefault="00B63850" w:rsidP="00AA7C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7CDB">
              <w:rPr>
                <w:rFonts w:ascii="Arial" w:hAnsi="Arial" w:cs="Arial"/>
                <w:sz w:val="20"/>
                <w:szCs w:val="20"/>
              </w:rPr>
              <w:t>Zdravje tal in živil</w:t>
            </w:r>
          </w:p>
        </w:tc>
        <w:tc>
          <w:tcPr>
            <w:tcW w:w="4606" w:type="dxa"/>
          </w:tcPr>
          <w:p w:rsidR="00B63850" w:rsidRPr="00AA7CDB" w:rsidRDefault="00E90795" w:rsidP="00AA7C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7CDB">
              <w:rPr>
                <w:rFonts w:ascii="Arial" w:hAnsi="Arial" w:cs="Arial"/>
                <w:sz w:val="20"/>
                <w:szCs w:val="20"/>
              </w:rPr>
              <w:t>67,00</w:t>
            </w:r>
          </w:p>
        </w:tc>
      </w:tr>
    </w:tbl>
    <w:p w:rsidR="00B63850" w:rsidRPr="00AA7CDB" w:rsidRDefault="00E90795" w:rsidP="00AA7CDB">
      <w:pPr>
        <w:jc w:val="both"/>
        <w:rPr>
          <w:rFonts w:ascii="Arial" w:hAnsi="Arial" w:cs="Arial"/>
          <w:sz w:val="20"/>
          <w:szCs w:val="20"/>
        </w:rPr>
      </w:pPr>
      <w:r w:rsidRPr="00AA7CDB">
        <w:rPr>
          <w:rFonts w:ascii="Arial" w:hAnsi="Arial" w:cs="Arial"/>
          <w:sz w:val="20"/>
          <w:szCs w:val="20"/>
        </w:rPr>
        <w:t>Vir: Evropska komisija</w:t>
      </w:r>
    </w:p>
    <w:p w:rsidR="00221F42" w:rsidRPr="00AA7CDB" w:rsidRDefault="00904E2F" w:rsidP="00AA7CDB">
      <w:pPr>
        <w:jc w:val="both"/>
        <w:rPr>
          <w:rFonts w:ascii="Arial" w:hAnsi="Arial" w:cs="Arial"/>
          <w:b/>
          <w:sz w:val="20"/>
          <w:szCs w:val="20"/>
        </w:rPr>
      </w:pPr>
      <w:r w:rsidRPr="00AA7CDB">
        <w:rPr>
          <w:rFonts w:ascii="Arial" w:hAnsi="Arial" w:cs="Arial"/>
          <w:b/>
          <w:sz w:val="20"/>
          <w:szCs w:val="20"/>
        </w:rPr>
        <w:t>Koristne informacije:</w:t>
      </w:r>
    </w:p>
    <w:p w:rsidR="00904E2F" w:rsidRPr="00AA7CDB" w:rsidRDefault="00904E2F" w:rsidP="00AA7CDB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A7CDB">
        <w:rPr>
          <w:rFonts w:ascii="Arial" w:hAnsi="Arial" w:cs="Arial"/>
          <w:sz w:val="20"/>
          <w:szCs w:val="20"/>
        </w:rPr>
        <w:t>Razpisi za izvajanje misije za boj proti raku:</w:t>
      </w:r>
    </w:p>
    <w:p w:rsidR="00904E2F" w:rsidRPr="00AA7CDB" w:rsidRDefault="00904E2F" w:rsidP="00AA7CDB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AA7CDB">
          <w:rPr>
            <w:rStyle w:val="Hiperpovezava"/>
            <w:rFonts w:ascii="Arial" w:hAnsi="Arial" w:cs="Arial"/>
            <w:sz w:val="20"/>
            <w:szCs w:val="20"/>
          </w:rPr>
          <w:t>https://ec.europa.eu/info/funding-tenders/opportunities/portal/screen/opportunities/topic-search;callCode=null;freeTextSearchKeyword=;matchWholeText=true;typeCodes=0,1,2;statusCodes=31094502,31094501;programmePeriod=2021%20-</w:t>
        </w:r>
        <w:r w:rsidRPr="00AA7CDB">
          <w:rPr>
            <w:rStyle w:val="Hiperpovezava"/>
            <w:rFonts w:ascii="Arial" w:hAnsi="Arial" w:cs="Arial"/>
            <w:sz w:val="20"/>
            <w:szCs w:val="20"/>
          </w:rPr>
          <w:lastRenderedPageBreak/>
          <w:t>%202027;programCcm2Id=43108390;programDivisionCode=null;focusAreaCode=null;destination=null;mission=43650615;geographicalZonesCode=null;programmeDivisionProspect=null;startDateLte=null;startDateGte=null;crossCuttingPriorityCode=null;cpvCode=null;performanceOfDelivery=null;sortQuery=sortStatus;orderBy=asc;onlyTenders=false;topicListKey=topicSearchTablePageState</w:t>
        </w:r>
      </w:hyperlink>
    </w:p>
    <w:p w:rsidR="00904E2F" w:rsidRPr="00AA7CDB" w:rsidRDefault="00904E2F" w:rsidP="00AA7CDB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A7CDB">
        <w:rPr>
          <w:rFonts w:ascii="Arial" w:hAnsi="Arial" w:cs="Arial"/>
          <w:sz w:val="20"/>
          <w:szCs w:val="20"/>
        </w:rPr>
        <w:t>Spletna stran z informacijami o misijah programa Obzorje Evropa:</w:t>
      </w:r>
    </w:p>
    <w:p w:rsidR="00904E2F" w:rsidRPr="00AA7CDB" w:rsidRDefault="00904E2F" w:rsidP="00AA7CDB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AA7CDB">
          <w:rPr>
            <w:rStyle w:val="Hiperpovezava"/>
            <w:rFonts w:ascii="Arial" w:hAnsi="Arial" w:cs="Arial"/>
            <w:sz w:val="20"/>
            <w:szCs w:val="20"/>
          </w:rPr>
          <w:t>https://ec.europa.eu/info/research-and-innovation/funding/funding-opportunities/funding-programmes-and-open-calls/horizon-europe/missions-horizon-europe_sl</w:t>
        </w:r>
      </w:hyperlink>
    </w:p>
    <w:p w:rsidR="00904E2F" w:rsidRPr="00AA7CDB" w:rsidRDefault="00904E2F" w:rsidP="00AA7CDB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A7CDB">
        <w:rPr>
          <w:rFonts w:ascii="Arial" w:hAnsi="Arial" w:cs="Arial"/>
          <w:sz w:val="20"/>
          <w:szCs w:val="20"/>
        </w:rPr>
        <w:t>Informacije o informativnem dnevu:</w:t>
      </w:r>
    </w:p>
    <w:p w:rsidR="00904E2F" w:rsidRDefault="00904E2F" w:rsidP="00AA7CDB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8" w:history="1">
        <w:r w:rsidRPr="00AA7CDB">
          <w:rPr>
            <w:rStyle w:val="Hiperpovezava"/>
            <w:rFonts w:ascii="Arial" w:hAnsi="Arial" w:cs="Arial"/>
            <w:sz w:val="20"/>
            <w:szCs w:val="20"/>
          </w:rPr>
          <w:t>https://ec.europa.eu/info/news/save-date-info-days-eu-missions-take-place-between-18-and-19-january-2022-2021-dec-13_sl</w:t>
        </w:r>
      </w:hyperlink>
    </w:p>
    <w:p w:rsidR="000145FC" w:rsidRDefault="000145FC" w:rsidP="00AA7CDB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Program dela programa Obzorje Evropa 2021-2022 za misije:</w:t>
      </w:r>
    </w:p>
    <w:p w:rsidR="000145FC" w:rsidRPr="00AA7CDB" w:rsidRDefault="000145FC" w:rsidP="00AA7CDB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9" w:history="1">
        <w:r w:rsidRPr="001B6193">
          <w:rPr>
            <w:rStyle w:val="Hiperpovezava"/>
            <w:rFonts w:ascii="Arial" w:hAnsi="Arial" w:cs="Arial"/>
            <w:sz w:val="20"/>
            <w:szCs w:val="20"/>
          </w:rPr>
          <w:t>https://ec.europa.eu/info/funding-tenders/opportunities/docs/2021-2027/horizon/wp-call/2021-2022/wp-12-missions_horizon-2021-2022_en.pdf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:rsidR="00904E2F" w:rsidRPr="00AA7CDB" w:rsidRDefault="00904E2F" w:rsidP="00AA7CDB">
      <w:pPr>
        <w:spacing w:after="0"/>
        <w:jc w:val="both"/>
        <w:rPr>
          <w:rFonts w:ascii="Arial" w:hAnsi="Arial" w:cs="Arial"/>
          <w:sz w:val="20"/>
          <w:szCs w:val="20"/>
        </w:rPr>
      </w:pPr>
      <w:r w:rsidRPr="00AA7CDB">
        <w:rPr>
          <w:rFonts w:ascii="Arial" w:hAnsi="Arial" w:cs="Arial"/>
          <w:sz w:val="20"/>
          <w:szCs w:val="20"/>
        </w:rPr>
        <w:t>Pripravila:</w:t>
      </w:r>
    </w:p>
    <w:p w:rsidR="00904E2F" w:rsidRPr="00AA7CDB" w:rsidRDefault="00904E2F" w:rsidP="00AA7CDB">
      <w:pPr>
        <w:spacing w:after="0"/>
        <w:jc w:val="both"/>
        <w:rPr>
          <w:rFonts w:ascii="Arial" w:hAnsi="Arial" w:cs="Arial"/>
          <w:sz w:val="20"/>
          <w:szCs w:val="20"/>
        </w:rPr>
      </w:pPr>
      <w:r w:rsidRPr="00AA7CDB">
        <w:rPr>
          <w:rFonts w:ascii="Arial" w:hAnsi="Arial" w:cs="Arial"/>
          <w:sz w:val="20"/>
          <w:szCs w:val="20"/>
        </w:rPr>
        <w:t>Darja Kocbek</w:t>
      </w:r>
    </w:p>
    <w:sectPr w:rsidR="00904E2F" w:rsidRPr="00AA7CDB" w:rsidSect="00AA1A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13A05"/>
    <w:multiLevelType w:val="hybridMultilevel"/>
    <w:tmpl w:val="3EC696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90295"/>
    <w:rsid w:val="000145FC"/>
    <w:rsid w:val="00221F42"/>
    <w:rsid w:val="004A31EC"/>
    <w:rsid w:val="006565BA"/>
    <w:rsid w:val="00890295"/>
    <w:rsid w:val="00904E2F"/>
    <w:rsid w:val="00AA1A00"/>
    <w:rsid w:val="00AA7CDB"/>
    <w:rsid w:val="00B63850"/>
    <w:rsid w:val="00E90795"/>
    <w:rsid w:val="00FF3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A1A00"/>
  </w:style>
  <w:style w:type="paragraph" w:styleId="Naslov1">
    <w:name w:val="heading 1"/>
    <w:basedOn w:val="Navaden"/>
    <w:link w:val="Naslov1Znak"/>
    <w:uiPriority w:val="9"/>
    <w:qFormat/>
    <w:rsid w:val="00B638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4A31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uiPriority w:val="59"/>
    <w:rsid w:val="00B638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slov1Znak">
    <w:name w:val="Naslov 1 Znak"/>
    <w:basedOn w:val="Privzetapisavaodstavka"/>
    <w:link w:val="Naslov1"/>
    <w:uiPriority w:val="9"/>
    <w:rsid w:val="00B63850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styleId="Hiperpovezava">
    <w:name w:val="Hyperlink"/>
    <w:basedOn w:val="Privzetapisavaodstavka"/>
    <w:uiPriority w:val="99"/>
    <w:unhideWhenUsed/>
    <w:rsid w:val="00904E2F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AA7CDB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4A31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A3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A31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3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info/news/save-date-info-days-eu-missions-take-place-between-18-and-19-january-2022-2021-dec-13_s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c.europa.eu/info/research-and-innovation/funding/funding-opportunities/funding-programmes-and-open-calls/horizon-europe/missions-horizon-europe_s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info/funding-tenders/opportunities/portal/screen/opportunities/topic-search;callCode=null;freeTextSearchKeyword=;matchWholeText=true;typeCodes=0,1,2;statusCodes=31094502,31094501;programmePeriod=2021%20-%202027;programCcm2Id=43108390;programDivisionCode=null;focusAreaCode=null;destination=null;mission=43650615;geographicalZonesCode=null;programmeDivisionProspect=null;startDateLte=null;startDateGte=null;crossCuttingPriorityCode=null;cpvCode=null;performanceOfDelivery=null;sortQuery=sortStatus;orderBy=asc;onlyTenders=false;topicListKey=topicSearchTablePageState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c.europa.eu/info/funding-tenders/opportunities/docs/2021-2027/horizon/wp-call/2021-2022/wp-12-missions_horizon-2021-2022_en.pdf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2021-12-23T20:38:00Z</dcterms:created>
  <dcterms:modified xsi:type="dcterms:W3CDTF">2021-12-23T21:50:00Z</dcterms:modified>
</cp:coreProperties>
</file>