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8CF" w:rsidRPr="00F973D8" w:rsidRDefault="000538CF" w:rsidP="000538CF">
      <w:pPr>
        <w:tabs>
          <w:tab w:val="left" w:pos="2520"/>
          <w:tab w:val="left" w:pos="2700"/>
          <w:tab w:val="left" w:pos="3120"/>
        </w:tabs>
        <w:jc w:val="center"/>
      </w:pPr>
      <w:r w:rsidRPr="00F973D8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38CF" w:rsidRPr="00F973D8" w:rsidRDefault="000538CF" w:rsidP="000538CF">
      <w:pPr>
        <w:pStyle w:val="Naslov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 w:rsidRPr="00F973D8">
        <w:rPr>
          <w:b w:val="0"/>
          <w:bCs w:val="0"/>
          <w:sz w:val="22"/>
        </w:rPr>
        <w:t>Slovensko gospodarsko in raziskovalno združenje, Bruselj</w:t>
      </w:r>
    </w:p>
    <w:p w:rsidR="000538CF" w:rsidRPr="00F973D8" w:rsidRDefault="000538CF" w:rsidP="000538CF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0538CF" w:rsidRPr="002414B9" w:rsidRDefault="000538CF" w:rsidP="000538CF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Občasna informacija članom 192</w:t>
      </w:r>
      <w:r w:rsidRPr="002414B9">
        <w:rPr>
          <w:rFonts w:ascii="Arial" w:hAnsi="Arial" w:cs="Arial"/>
          <w:b/>
        </w:rPr>
        <w:t xml:space="preserve"> – 2017</w:t>
      </w:r>
    </w:p>
    <w:p w:rsidR="000538CF" w:rsidRPr="00F973D8" w:rsidRDefault="000538CF" w:rsidP="000538CF">
      <w:pPr>
        <w:pStyle w:val="Brezrazmikov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27</w:t>
      </w:r>
      <w:r w:rsidRPr="00F973D8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december</w:t>
      </w:r>
      <w:r w:rsidRPr="00F973D8">
        <w:rPr>
          <w:rFonts w:ascii="Arial" w:hAnsi="Arial" w:cs="Arial"/>
          <w:b/>
        </w:rPr>
        <w:t xml:space="preserve"> 2017</w:t>
      </w:r>
    </w:p>
    <w:p w:rsidR="000538CF" w:rsidRDefault="000538CF" w:rsidP="00913E55">
      <w:pPr>
        <w:jc w:val="center"/>
        <w:rPr>
          <w:rFonts w:ascii="Arial" w:hAnsi="Arial" w:cs="Arial"/>
          <w:b/>
          <w:color w:val="993300"/>
          <w:sz w:val="32"/>
          <w:szCs w:val="32"/>
        </w:rPr>
      </w:pPr>
      <w:r>
        <w:rPr>
          <w:rFonts w:ascii="Arial" w:hAnsi="Arial" w:cs="Arial"/>
          <w:b/>
          <w:color w:val="993300"/>
          <w:sz w:val="32"/>
          <w:szCs w:val="32"/>
        </w:rPr>
        <w:t xml:space="preserve">Nova zakonodaja EU o trgovinski zaščiti uvaja nov način izračuna, ali je pri uvozu v EU prišlo do </w:t>
      </w:r>
      <w:proofErr w:type="spellStart"/>
      <w:r>
        <w:rPr>
          <w:rFonts w:ascii="Arial" w:hAnsi="Arial" w:cs="Arial"/>
          <w:b/>
          <w:color w:val="993300"/>
          <w:sz w:val="32"/>
          <w:szCs w:val="32"/>
        </w:rPr>
        <w:t>dampinga</w:t>
      </w:r>
      <w:proofErr w:type="spellEnd"/>
    </w:p>
    <w:p w:rsidR="00913E55" w:rsidRPr="00B01571" w:rsidRDefault="00913E55" w:rsidP="00913E55">
      <w:pPr>
        <w:rPr>
          <w:rFonts w:ascii="Arial" w:hAnsi="Arial" w:cs="Arial"/>
          <w:b/>
          <w:i/>
        </w:rPr>
      </w:pPr>
      <w:r w:rsidRPr="00B01571">
        <w:rPr>
          <w:rFonts w:ascii="Arial" w:hAnsi="Arial" w:cs="Arial"/>
          <w:b/>
          <w:i/>
        </w:rPr>
        <w:t xml:space="preserve">Veljati je začela nova zakonodaja EU o trgovinski zaščiti, ki uvaja nov način izračuna, ali je prišlo do </w:t>
      </w:r>
      <w:proofErr w:type="spellStart"/>
      <w:r w:rsidRPr="00B01571">
        <w:rPr>
          <w:rFonts w:ascii="Arial" w:hAnsi="Arial" w:cs="Arial"/>
          <w:b/>
          <w:i/>
        </w:rPr>
        <w:t>dampinga</w:t>
      </w:r>
      <w:proofErr w:type="spellEnd"/>
      <w:r w:rsidRPr="00B01571">
        <w:rPr>
          <w:rFonts w:ascii="Arial" w:hAnsi="Arial" w:cs="Arial"/>
          <w:b/>
          <w:i/>
        </w:rPr>
        <w:t xml:space="preserve"> pri uvozu v EU iz </w:t>
      </w:r>
      <w:r>
        <w:rPr>
          <w:rFonts w:ascii="Arial" w:hAnsi="Arial" w:cs="Arial"/>
          <w:b/>
          <w:i/>
        </w:rPr>
        <w:t xml:space="preserve">tretjih </w:t>
      </w:r>
      <w:r w:rsidRPr="00B01571">
        <w:rPr>
          <w:rFonts w:ascii="Arial" w:hAnsi="Arial" w:cs="Arial"/>
          <w:b/>
          <w:i/>
        </w:rPr>
        <w:t>držav, kjer je zaradi vmešavanja države</w:t>
      </w:r>
      <w:r>
        <w:rPr>
          <w:rFonts w:ascii="Arial" w:hAnsi="Arial" w:cs="Arial"/>
          <w:b/>
          <w:i/>
        </w:rPr>
        <w:t xml:space="preserve"> </w:t>
      </w:r>
      <w:r w:rsidRPr="00B01571">
        <w:rPr>
          <w:rFonts w:ascii="Arial" w:hAnsi="Arial" w:cs="Arial"/>
          <w:b/>
          <w:i/>
        </w:rPr>
        <w:t xml:space="preserve">gospodarstvo izkrivljeno. </w:t>
      </w:r>
      <w:r>
        <w:rPr>
          <w:rFonts w:ascii="Arial" w:hAnsi="Arial" w:cs="Arial"/>
          <w:b/>
          <w:i/>
        </w:rPr>
        <w:t>Hkrati</w:t>
      </w:r>
      <w:r w:rsidRPr="00B01571">
        <w:rPr>
          <w:rFonts w:ascii="Arial" w:hAnsi="Arial" w:cs="Arial"/>
          <w:b/>
          <w:i/>
        </w:rPr>
        <w:t xml:space="preserve"> je Evropska komisija </w:t>
      </w:r>
      <w:r>
        <w:rPr>
          <w:rFonts w:ascii="Arial" w:hAnsi="Arial" w:cs="Arial"/>
          <w:b/>
          <w:i/>
        </w:rPr>
        <w:t xml:space="preserve">v skladu z novo uredbo </w:t>
      </w:r>
      <w:r w:rsidRPr="00B01571">
        <w:rPr>
          <w:rFonts w:ascii="Arial" w:hAnsi="Arial" w:cs="Arial"/>
          <w:b/>
          <w:i/>
        </w:rPr>
        <w:t xml:space="preserve">objavila prvo poročilo o državi. Izbrala je Kitajsko, ker se glavnina </w:t>
      </w:r>
      <w:proofErr w:type="spellStart"/>
      <w:r w:rsidRPr="00B01571">
        <w:rPr>
          <w:rFonts w:ascii="Arial" w:hAnsi="Arial" w:cs="Arial"/>
          <w:b/>
          <w:i/>
        </w:rPr>
        <w:t>protidampinške</w:t>
      </w:r>
      <w:proofErr w:type="spellEnd"/>
      <w:r w:rsidRPr="00B01571">
        <w:rPr>
          <w:rFonts w:ascii="Arial" w:hAnsi="Arial" w:cs="Arial"/>
          <w:b/>
          <w:i/>
        </w:rPr>
        <w:t xml:space="preserve"> dejavnosti EU nanaša na uvoz iz te države. Naslednje poročilo o državi bo </w:t>
      </w:r>
      <w:r>
        <w:rPr>
          <w:rFonts w:ascii="Arial" w:hAnsi="Arial" w:cs="Arial"/>
          <w:b/>
          <w:i/>
        </w:rPr>
        <w:t xml:space="preserve">Evropska komisija objavila </w:t>
      </w:r>
      <w:r w:rsidRPr="00B01571">
        <w:rPr>
          <w:rFonts w:ascii="Arial" w:hAnsi="Arial" w:cs="Arial"/>
          <w:b/>
          <w:i/>
        </w:rPr>
        <w:t>o Rusiji.</w:t>
      </w:r>
    </w:p>
    <w:p w:rsidR="00670CDC" w:rsidRPr="00B01571" w:rsidRDefault="00670CDC" w:rsidP="00B01571">
      <w:pPr>
        <w:rPr>
          <w:rFonts w:ascii="Arial" w:hAnsi="Arial" w:cs="Arial"/>
          <w:sz w:val="20"/>
          <w:szCs w:val="20"/>
        </w:rPr>
      </w:pPr>
      <w:r w:rsidRPr="00B01571">
        <w:rPr>
          <w:rFonts w:ascii="Arial" w:hAnsi="Arial" w:cs="Arial"/>
          <w:sz w:val="20"/>
          <w:szCs w:val="20"/>
        </w:rPr>
        <w:t>Namen nove zakonodaje EU o trgovinski zaščiti je EU zagotoviti instrumente trgovinske zaščite, s katerimi je lahko kos trenutnim razmeram v mednarodnem trgovinskem okolju (zlasti izkrivljanjem s strani države, ki prepogosto povzročajo presežne zmogljivosti). Nova pravila so v skladu s pravili Svetovne trgovinske organizacije (WTO).</w:t>
      </w:r>
    </w:p>
    <w:p w:rsidR="00670CDC" w:rsidRPr="00B01571" w:rsidRDefault="00670CDC" w:rsidP="00B01571">
      <w:pPr>
        <w:rPr>
          <w:rFonts w:ascii="Arial" w:hAnsi="Arial" w:cs="Arial"/>
          <w:sz w:val="20"/>
          <w:szCs w:val="20"/>
        </w:rPr>
      </w:pPr>
      <w:r w:rsidRPr="00B01571">
        <w:rPr>
          <w:rFonts w:ascii="Arial" w:hAnsi="Arial" w:cs="Arial"/>
          <w:sz w:val="20"/>
          <w:szCs w:val="20"/>
        </w:rPr>
        <w:t>V poročilu o Kitajski so opisani nekateri vidiki kitajskega gospodarstva, osredotoča se na makroekonomijo te države, glavne proizvodne dejavnike, uporabljene v vseh proizvodnih procesih (npr. delovno silo, energijo), ter določene sektorje gospodarstva, tudi jeklarski in keramični.</w:t>
      </w:r>
    </w:p>
    <w:p w:rsidR="00670CDC" w:rsidRPr="00B01571" w:rsidRDefault="00670CDC" w:rsidP="00B01571">
      <w:pPr>
        <w:rPr>
          <w:rFonts w:ascii="Arial" w:hAnsi="Arial" w:cs="Arial"/>
          <w:sz w:val="20"/>
          <w:szCs w:val="20"/>
        </w:rPr>
      </w:pPr>
      <w:r w:rsidRPr="00B01571">
        <w:rPr>
          <w:rFonts w:ascii="Arial" w:hAnsi="Arial" w:cs="Arial"/>
          <w:sz w:val="20"/>
          <w:szCs w:val="20"/>
        </w:rPr>
        <w:t xml:space="preserve">Podjetja v EU se lahko oprejo na poročila o državi in jih uporabijo kot dokaz za zahtevo po uporabi nove metodologije v </w:t>
      </w:r>
      <w:proofErr w:type="spellStart"/>
      <w:r w:rsidRPr="00B01571">
        <w:rPr>
          <w:rFonts w:ascii="Arial" w:hAnsi="Arial" w:cs="Arial"/>
          <w:sz w:val="20"/>
          <w:szCs w:val="20"/>
        </w:rPr>
        <w:t>protidampinških</w:t>
      </w:r>
      <w:proofErr w:type="spellEnd"/>
      <w:r w:rsidRPr="00B01571">
        <w:rPr>
          <w:rFonts w:ascii="Arial" w:hAnsi="Arial" w:cs="Arial"/>
          <w:sz w:val="20"/>
          <w:szCs w:val="20"/>
        </w:rPr>
        <w:t xml:space="preserve"> preiskavah. Pri vsaki preiskavi bo Evropska komisija zdaj proučila, ali bi bilo treba glede na vse dokaze iz dokumentacije uporabiti novo metodologijo. Vse strani, ki jih preiskava zadeva (vključno z vlado zadevne države in proizvajalci izvozniki) bodo v času, ko bo potekala preiskava, imele možnost predložiti pripombe ter ovreči ugotovitve iz poročil.</w:t>
      </w:r>
    </w:p>
    <w:p w:rsidR="00670CDC" w:rsidRPr="00B01571" w:rsidRDefault="00A334B8" w:rsidP="00B01571">
      <w:pPr>
        <w:rPr>
          <w:rFonts w:ascii="Arial" w:hAnsi="Arial" w:cs="Arial"/>
          <w:b/>
          <w:sz w:val="20"/>
          <w:szCs w:val="20"/>
        </w:rPr>
      </w:pPr>
      <w:r w:rsidRPr="00B01571">
        <w:rPr>
          <w:rFonts w:ascii="Arial" w:hAnsi="Arial" w:cs="Arial"/>
          <w:b/>
          <w:sz w:val="20"/>
          <w:szCs w:val="20"/>
        </w:rPr>
        <w:t>Koristne informacije:</w:t>
      </w:r>
    </w:p>
    <w:p w:rsidR="00A334B8" w:rsidRPr="00B01571" w:rsidRDefault="00A334B8" w:rsidP="00B01571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01571">
        <w:rPr>
          <w:rFonts w:ascii="Arial" w:hAnsi="Arial" w:cs="Arial"/>
          <w:sz w:val="20"/>
          <w:szCs w:val="20"/>
        </w:rPr>
        <w:t>Nova uredba:</w:t>
      </w:r>
    </w:p>
    <w:p w:rsidR="00A334B8" w:rsidRPr="00B01571" w:rsidRDefault="00A334B8" w:rsidP="00B01571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6" w:history="1">
        <w:r w:rsidRPr="00B01571">
          <w:rPr>
            <w:rStyle w:val="Hiperpovezava"/>
            <w:rFonts w:ascii="Arial" w:hAnsi="Arial" w:cs="Arial"/>
            <w:sz w:val="20"/>
            <w:szCs w:val="20"/>
          </w:rPr>
          <w:t>http://eur-lex.europa.eu/legal-content/SL/TXT/?uri=CELEX:32017R2321</w:t>
        </w:r>
      </w:hyperlink>
    </w:p>
    <w:p w:rsidR="00A334B8" w:rsidRPr="00B01571" w:rsidRDefault="00A334B8" w:rsidP="00B01571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01571">
        <w:rPr>
          <w:rFonts w:ascii="Arial" w:hAnsi="Arial" w:cs="Arial"/>
          <w:sz w:val="20"/>
          <w:szCs w:val="20"/>
        </w:rPr>
        <w:t>Poročilo o Kitajski:</w:t>
      </w:r>
    </w:p>
    <w:p w:rsidR="00A334B8" w:rsidRPr="00B01571" w:rsidRDefault="00A334B8" w:rsidP="00B01571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7" w:history="1">
        <w:r w:rsidRPr="00B01571">
          <w:rPr>
            <w:rStyle w:val="Hiperpovezava"/>
            <w:rFonts w:ascii="Arial" w:hAnsi="Arial" w:cs="Arial"/>
            <w:sz w:val="20"/>
            <w:szCs w:val="20"/>
          </w:rPr>
          <w:t>http://trade.ec.europa.eu/doclib/docs/2017/december/tradoc_156474.pdf</w:t>
        </w:r>
      </w:hyperlink>
      <w:r w:rsidRPr="00B01571">
        <w:rPr>
          <w:rFonts w:ascii="Arial" w:hAnsi="Arial" w:cs="Arial"/>
          <w:sz w:val="20"/>
          <w:szCs w:val="20"/>
        </w:rPr>
        <w:t xml:space="preserve"> </w:t>
      </w:r>
    </w:p>
    <w:p w:rsidR="00A334B8" w:rsidRPr="00B01571" w:rsidRDefault="00A334B8" w:rsidP="00B01571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01571">
        <w:rPr>
          <w:rFonts w:ascii="Arial" w:hAnsi="Arial" w:cs="Arial"/>
          <w:sz w:val="20"/>
          <w:szCs w:val="20"/>
        </w:rPr>
        <w:t xml:space="preserve">Vodič z nasveti za pritožbo zaradi </w:t>
      </w:r>
      <w:proofErr w:type="spellStart"/>
      <w:r w:rsidRPr="00B01571">
        <w:rPr>
          <w:rFonts w:ascii="Arial" w:hAnsi="Arial" w:cs="Arial"/>
          <w:sz w:val="20"/>
          <w:szCs w:val="20"/>
        </w:rPr>
        <w:t>dampinga</w:t>
      </w:r>
      <w:proofErr w:type="spellEnd"/>
      <w:r w:rsidRPr="00B01571">
        <w:rPr>
          <w:rFonts w:ascii="Arial" w:hAnsi="Arial" w:cs="Arial"/>
          <w:sz w:val="20"/>
          <w:szCs w:val="20"/>
        </w:rPr>
        <w:t>:</w:t>
      </w:r>
    </w:p>
    <w:p w:rsidR="00A334B8" w:rsidRPr="00B01571" w:rsidRDefault="00A334B8" w:rsidP="00B01571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8" w:history="1">
        <w:r w:rsidRPr="00B01571">
          <w:rPr>
            <w:rStyle w:val="Hiperpovezava"/>
            <w:rFonts w:ascii="Arial" w:hAnsi="Arial" w:cs="Arial"/>
            <w:sz w:val="20"/>
            <w:szCs w:val="20"/>
          </w:rPr>
          <w:t>http://trade.ec.europa.eu/doclib/docs/2017/december/tradoc_156473.12.12.17_final.pdf</w:t>
        </w:r>
      </w:hyperlink>
    </w:p>
    <w:p w:rsidR="00A334B8" w:rsidRPr="00B01571" w:rsidRDefault="00A334B8" w:rsidP="00B01571">
      <w:pPr>
        <w:rPr>
          <w:rFonts w:ascii="Arial" w:hAnsi="Arial" w:cs="Arial"/>
          <w:sz w:val="20"/>
          <w:szCs w:val="20"/>
        </w:rPr>
      </w:pPr>
      <w:r w:rsidRPr="00B01571">
        <w:rPr>
          <w:rFonts w:ascii="Arial" w:hAnsi="Arial" w:cs="Arial"/>
          <w:sz w:val="20"/>
          <w:szCs w:val="20"/>
        </w:rPr>
        <w:t>Pripravila:</w:t>
      </w:r>
    </w:p>
    <w:p w:rsidR="00A334B8" w:rsidRPr="00B01571" w:rsidRDefault="00A334B8" w:rsidP="00B01571">
      <w:pPr>
        <w:rPr>
          <w:rFonts w:ascii="Arial" w:hAnsi="Arial" w:cs="Arial"/>
          <w:sz w:val="20"/>
          <w:szCs w:val="20"/>
        </w:rPr>
      </w:pPr>
      <w:r w:rsidRPr="00B01571">
        <w:rPr>
          <w:rFonts w:ascii="Arial" w:hAnsi="Arial" w:cs="Arial"/>
          <w:sz w:val="20"/>
          <w:szCs w:val="20"/>
        </w:rPr>
        <w:t>Darja Kocbek</w:t>
      </w:r>
    </w:p>
    <w:p w:rsidR="00A334B8" w:rsidRDefault="00A334B8"/>
    <w:p w:rsidR="00A334B8" w:rsidRDefault="00A334B8"/>
    <w:sectPr w:rsidR="00A334B8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40769"/>
    <w:multiLevelType w:val="hybridMultilevel"/>
    <w:tmpl w:val="D2C462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0CDC"/>
    <w:rsid w:val="000538CF"/>
    <w:rsid w:val="00670CDC"/>
    <w:rsid w:val="00853A0D"/>
    <w:rsid w:val="00913E55"/>
    <w:rsid w:val="00A334B8"/>
    <w:rsid w:val="00B01571"/>
    <w:rsid w:val="00B45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59D4"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0538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670CDC"/>
    <w:pPr>
      <w:spacing w:before="100" w:beforeAutospacing="1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A334B8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B01571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0538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rezrazmikov">
    <w:name w:val="No Spacing"/>
    <w:uiPriority w:val="1"/>
    <w:qFormat/>
    <w:rsid w:val="000538CF"/>
    <w:pPr>
      <w:spacing w:after="0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538C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538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ade.ec.europa.eu/doclib/docs/2017/december/tradoc_156473.12.12.17_final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rade.ec.europa.eu/doclib/docs/2017/december/tradoc_15647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ur-lex.europa.eu/legal-content/SL/TXT/?uri=CELEX:32017R2321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4</cp:revision>
  <dcterms:created xsi:type="dcterms:W3CDTF">2017-12-20T13:13:00Z</dcterms:created>
  <dcterms:modified xsi:type="dcterms:W3CDTF">2017-12-20T13:33:00Z</dcterms:modified>
</cp:coreProperties>
</file>