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04" w:rsidRPr="00083714" w:rsidRDefault="00A01204" w:rsidP="00A01204">
      <w:pPr>
        <w:tabs>
          <w:tab w:val="left" w:pos="2520"/>
          <w:tab w:val="left" w:pos="2700"/>
          <w:tab w:val="left" w:pos="3120"/>
        </w:tabs>
        <w:spacing w:before="240" w:after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204" w:rsidRDefault="00A01204" w:rsidP="00A01204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A01204" w:rsidRPr="00083714" w:rsidRDefault="00A01204" w:rsidP="00A01204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01204" w:rsidRPr="00083714" w:rsidRDefault="00A01204" w:rsidP="00A01204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A01204" w:rsidRDefault="00A01204" w:rsidP="00A01204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A01204" w:rsidRDefault="00A01204" w:rsidP="00A01204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04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A01204" w:rsidRDefault="00A01204" w:rsidP="00A01204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04. januar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A01204" w:rsidRPr="00083714" w:rsidRDefault="00A01204" w:rsidP="00A01204">
      <w:pPr>
        <w:tabs>
          <w:tab w:val="left" w:pos="3120"/>
        </w:tabs>
        <w:spacing w:after="0"/>
        <w:jc w:val="center"/>
        <w:rPr>
          <w:b/>
        </w:rPr>
      </w:pPr>
    </w:p>
    <w:p w:rsidR="00A01204" w:rsidRDefault="00923560" w:rsidP="0092356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Informacije ob evropskem letu železnice 2021 bodo zbrane na posebni spletni strani </w:t>
      </w:r>
    </w:p>
    <w:p w:rsidR="00AB3381" w:rsidRPr="009849C9" w:rsidRDefault="009732B9" w:rsidP="009849C9">
      <w:pPr>
        <w:jc w:val="both"/>
        <w:rPr>
          <w:rFonts w:ascii="Arial" w:hAnsi="Arial" w:cs="Arial"/>
          <w:b/>
          <w:i/>
        </w:rPr>
      </w:pPr>
      <w:r w:rsidRPr="009849C9">
        <w:rPr>
          <w:rFonts w:ascii="Arial" w:hAnsi="Arial" w:cs="Arial"/>
          <w:b/>
          <w:i/>
        </w:rPr>
        <w:t>Leto 2021 je evropsko leto železnice. Evropska komisija</w:t>
      </w:r>
      <w:r w:rsidR="008009AE" w:rsidRPr="009849C9">
        <w:rPr>
          <w:rFonts w:ascii="Arial" w:hAnsi="Arial" w:cs="Arial"/>
          <w:b/>
          <w:i/>
        </w:rPr>
        <w:t xml:space="preserve"> namerava to</w:t>
      </w:r>
      <w:r w:rsidRPr="009849C9">
        <w:rPr>
          <w:rFonts w:ascii="Arial" w:hAnsi="Arial" w:cs="Arial"/>
          <w:b/>
          <w:i/>
        </w:rPr>
        <w:t xml:space="preserve"> izkoristi</w:t>
      </w:r>
      <w:r w:rsidR="008009AE" w:rsidRPr="009849C9">
        <w:rPr>
          <w:rFonts w:ascii="Arial" w:hAnsi="Arial" w:cs="Arial"/>
          <w:b/>
          <w:i/>
        </w:rPr>
        <w:t>ti</w:t>
      </w:r>
      <w:r w:rsidRPr="009849C9">
        <w:rPr>
          <w:rFonts w:ascii="Arial" w:hAnsi="Arial" w:cs="Arial"/>
          <w:b/>
          <w:i/>
        </w:rPr>
        <w:t xml:space="preserve"> kot priložnost za predstavitev železnice kot trajnostne, pametne in </w:t>
      </w:r>
      <w:r w:rsidR="008009AE" w:rsidRPr="009849C9">
        <w:rPr>
          <w:rFonts w:ascii="Arial" w:hAnsi="Arial" w:cs="Arial"/>
          <w:b/>
          <w:i/>
        </w:rPr>
        <w:t>varne oblike transporta. Eden o</w:t>
      </w:r>
      <w:r w:rsidRPr="009849C9">
        <w:rPr>
          <w:rFonts w:ascii="Arial" w:hAnsi="Arial" w:cs="Arial"/>
          <w:b/>
          <w:i/>
        </w:rPr>
        <w:t xml:space="preserve">d ciljev dogodkov, ki so predvideni po vsej EU, je </w:t>
      </w:r>
      <w:r w:rsidR="008009AE" w:rsidRPr="009849C9">
        <w:rPr>
          <w:rFonts w:ascii="Arial" w:hAnsi="Arial" w:cs="Arial"/>
          <w:b/>
          <w:i/>
        </w:rPr>
        <w:t>še</w:t>
      </w:r>
      <w:r w:rsidRPr="009849C9">
        <w:rPr>
          <w:rFonts w:ascii="Arial" w:hAnsi="Arial" w:cs="Arial"/>
          <w:b/>
          <w:i/>
        </w:rPr>
        <w:t xml:space="preserve"> predstaviti, kako železnica</w:t>
      </w:r>
      <w:r w:rsidR="00AB3381" w:rsidRPr="009849C9">
        <w:rPr>
          <w:rFonts w:ascii="Arial" w:hAnsi="Arial" w:cs="Arial"/>
          <w:b/>
          <w:i/>
        </w:rPr>
        <w:t xml:space="preserve"> </w:t>
      </w:r>
      <w:r w:rsidRPr="009849C9">
        <w:rPr>
          <w:rFonts w:ascii="Arial" w:hAnsi="Arial" w:cs="Arial"/>
          <w:b/>
          <w:i/>
        </w:rPr>
        <w:t xml:space="preserve"> lahko prispeva k uresničitvi ciljev evropskega zelenega dogovora.</w:t>
      </w:r>
      <w:r w:rsidR="00AB3381" w:rsidRPr="009849C9">
        <w:rPr>
          <w:rFonts w:ascii="Arial" w:hAnsi="Arial" w:cs="Arial"/>
          <w:b/>
          <w:i/>
        </w:rPr>
        <w:t xml:space="preserve"> </w:t>
      </w:r>
      <w:r w:rsidR="008009AE" w:rsidRPr="009849C9">
        <w:rPr>
          <w:rFonts w:ascii="Arial" w:hAnsi="Arial" w:cs="Arial"/>
          <w:b/>
          <w:i/>
        </w:rPr>
        <w:t>S 1. januarjem je začela delovati posebna spletna stran s pregledom predvidenih dogodkov in aktivnosti.</w:t>
      </w:r>
    </w:p>
    <w:p w:rsidR="008009AE" w:rsidRPr="009849C9" w:rsidRDefault="00F76D07" w:rsidP="009849C9">
      <w:pPr>
        <w:jc w:val="both"/>
        <w:rPr>
          <w:rFonts w:ascii="Arial" w:hAnsi="Arial" w:cs="Arial"/>
          <w:sz w:val="20"/>
          <w:szCs w:val="20"/>
        </w:rPr>
      </w:pPr>
      <w:r w:rsidRPr="009849C9">
        <w:rPr>
          <w:rFonts w:ascii="Arial" w:hAnsi="Arial" w:cs="Arial"/>
          <w:sz w:val="20"/>
          <w:szCs w:val="20"/>
        </w:rPr>
        <w:t xml:space="preserve">Evropska komisija obljublja, da bo na spletni strani </w:t>
      </w:r>
      <w:r w:rsidR="008009AE" w:rsidRPr="009849C9">
        <w:rPr>
          <w:rFonts w:ascii="Arial" w:hAnsi="Arial" w:cs="Arial"/>
          <w:sz w:val="20"/>
          <w:szCs w:val="20"/>
        </w:rPr>
        <w:t xml:space="preserve"> </w:t>
      </w:r>
      <w:r w:rsidRPr="009849C9">
        <w:rPr>
          <w:rFonts w:ascii="Arial" w:hAnsi="Arial" w:cs="Arial"/>
          <w:sz w:val="20"/>
          <w:szCs w:val="20"/>
        </w:rPr>
        <w:t>mogoče najti informacije o inovativnosti evropskih železnic, o vlogi železnice v evropski kulturi in na področju kulturne dediščine, pomenu železnice za povezovanje regij, ljudi in podjetij, o vlogi železnice pri vzpostavljanju trajnostnega turizma  in povezovanju EU s sosednjimi državami.</w:t>
      </w:r>
    </w:p>
    <w:p w:rsidR="00F76D07" w:rsidRPr="009849C9" w:rsidRDefault="00F76D07" w:rsidP="009849C9">
      <w:pPr>
        <w:jc w:val="both"/>
        <w:rPr>
          <w:rFonts w:ascii="Arial" w:hAnsi="Arial" w:cs="Arial"/>
          <w:sz w:val="20"/>
          <w:szCs w:val="20"/>
        </w:rPr>
      </w:pPr>
      <w:r w:rsidRPr="009849C9">
        <w:rPr>
          <w:rFonts w:ascii="Arial" w:hAnsi="Arial" w:cs="Arial"/>
          <w:sz w:val="20"/>
          <w:szCs w:val="20"/>
        </w:rPr>
        <w:t>Na zakonodajnem področju Evropska komisija napoveduje pripravo predloga evropskega partnerstva na področju železnice, predloga za izboljšanje povezave železnice z drugimi oblikami transporta in predloga za vzpostavitev bolj trajnostnega blagovnega transporta v skladu s strategijo za trajnostno in pametno mobilnost. Leto 2021 bo po oceni Evropske komisije tudi pomemben mejnik za vzpostavitev enotnega evropskega železniškega prostora z učinkov</w:t>
      </w:r>
      <w:r w:rsidR="004E1A01" w:rsidRPr="009849C9">
        <w:rPr>
          <w:rFonts w:ascii="Arial" w:hAnsi="Arial" w:cs="Arial"/>
          <w:sz w:val="20"/>
          <w:szCs w:val="20"/>
        </w:rPr>
        <w:t>itejšim železniškim omrežjem in čezmejno mobilnostjo brez zastojev in ovir prek vseevropskega prometnega omrežja (TEN-T).</w:t>
      </w:r>
    </w:p>
    <w:p w:rsidR="004E1A01" w:rsidRPr="009849C9" w:rsidRDefault="004E1A01" w:rsidP="009849C9">
      <w:pPr>
        <w:jc w:val="both"/>
        <w:rPr>
          <w:rFonts w:ascii="Arial" w:hAnsi="Arial" w:cs="Arial"/>
          <w:b/>
          <w:sz w:val="20"/>
          <w:szCs w:val="20"/>
        </w:rPr>
      </w:pPr>
      <w:r w:rsidRPr="009849C9">
        <w:rPr>
          <w:rFonts w:ascii="Arial" w:hAnsi="Arial" w:cs="Arial"/>
          <w:b/>
          <w:sz w:val="20"/>
          <w:szCs w:val="20"/>
        </w:rPr>
        <w:t>Koristne informacije:</w:t>
      </w:r>
    </w:p>
    <w:p w:rsidR="004E1A01" w:rsidRPr="009849C9" w:rsidRDefault="004E1A01" w:rsidP="009849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49C9">
        <w:rPr>
          <w:rFonts w:ascii="Arial" w:hAnsi="Arial" w:cs="Arial"/>
          <w:sz w:val="20"/>
          <w:szCs w:val="20"/>
        </w:rPr>
        <w:t>Spletna stran Evropsko leto železnice:</w:t>
      </w:r>
    </w:p>
    <w:p w:rsidR="004E1A01" w:rsidRPr="009849C9" w:rsidRDefault="004E1A01" w:rsidP="009849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849C9">
          <w:rPr>
            <w:rStyle w:val="Hiperpovezava"/>
            <w:rFonts w:ascii="Arial" w:hAnsi="Arial" w:cs="Arial"/>
            <w:sz w:val="20"/>
            <w:szCs w:val="20"/>
          </w:rPr>
          <w:t>https://europa.eu/year-of-rail/index_sl</w:t>
        </w:r>
      </w:hyperlink>
    </w:p>
    <w:p w:rsidR="004E1A01" w:rsidRPr="009849C9" w:rsidRDefault="004E1A01" w:rsidP="009849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49C9">
        <w:rPr>
          <w:rFonts w:ascii="Arial" w:hAnsi="Arial" w:cs="Arial"/>
          <w:sz w:val="20"/>
          <w:szCs w:val="20"/>
        </w:rPr>
        <w:t>Strategija za trajnostno in pametno mobilnost:</w:t>
      </w:r>
    </w:p>
    <w:p w:rsidR="004E1A01" w:rsidRPr="009849C9" w:rsidRDefault="004E1A01" w:rsidP="009849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9849C9">
          <w:rPr>
            <w:rStyle w:val="Hiperpovezava"/>
            <w:rFonts w:ascii="Arial" w:hAnsi="Arial" w:cs="Arial"/>
            <w:sz w:val="20"/>
            <w:szCs w:val="20"/>
          </w:rPr>
          <w:t>https://ec.europa.eu/transport/themes/mobilitystrategy_en</w:t>
        </w:r>
      </w:hyperlink>
    </w:p>
    <w:p w:rsidR="004E1A01" w:rsidRPr="009849C9" w:rsidRDefault="004E1A01" w:rsidP="009849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49C9">
        <w:rPr>
          <w:rFonts w:ascii="Arial" w:hAnsi="Arial" w:cs="Arial"/>
          <w:sz w:val="20"/>
          <w:szCs w:val="20"/>
        </w:rPr>
        <w:t>Vseevropsko prometno omrežje(TEN-T):</w:t>
      </w:r>
    </w:p>
    <w:p w:rsidR="004E1A01" w:rsidRPr="009849C9" w:rsidRDefault="004E1A01" w:rsidP="009849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9849C9">
          <w:rPr>
            <w:rStyle w:val="Hiperpovezava"/>
            <w:rFonts w:ascii="Arial" w:hAnsi="Arial" w:cs="Arial"/>
            <w:sz w:val="20"/>
            <w:szCs w:val="20"/>
          </w:rPr>
          <w:t>https://ec.europa.eu/transport/themes/infrastructure/ten-t_sl</w:t>
        </w:r>
      </w:hyperlink>
    </w:p>
    <w:p w:rsidR="004E1A01" w:rsidRPr="009849C9" w:rsidRDefault="004E1A01" w:rsidP="009849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49C9">
        <w:rPr>
          <w:rFonts w:ascii="Arial" w:hAnsi="Arial" w:cs="Arial"/>
          <w:sz w:val="20"/>
          <w:szCs w:val="20"/>
        </w:rPr>
        <w:t>Četrti železniški sveženj:</w:t>
      </w:r>
    </w:p>
    <w:p w:rsidR="004E1A01" w:rsidRPr="009849C9" w:rsidRDefault="004E1A01" w:rsidP="009849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9849C9">
          <w:rPr>
            <w:rStyle w:val="Hiperpovezava"/>
            <w:rFonts w:ascii="Arial" w:hAnsi="Arial" w:cs="Arial"/>
            <w:sz w:val="20"/>
            <w:szCs w:val="20"/>
          </w:rPr>
          <w:t>https://ec.europa.eu/transport/modes/rail/packages/2013_sl</w:t>
        </w:r>
      </w:hyperlink>
    </w:p>
    <w:p w:rsidR="004E1A01" w:rsidRPr="009849C9" w:rsidRDefault="004E1A01" w:rsidP="009849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849C9">
        <w:rPr>
          <w:rFonts w:ascii="Arial" w:hAnsi="Arial" w:cs="Arial"/>
          <w:sz w:val="20"/>
          <w:szCs w:val="20"/>
        </w:rPr>
        <w:t>Odločitev, da bo leto 2021 evropsko leto železnice:</w:t>
      </w:r>
    </w:p>
    <w:p w:rsidR="004E1A01" w:rsidRPr="009849C9" w:rsidRDefault="004E1A01" w:rsidP="009849C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9849C9">
          <w:rPr>
            <w:rStyle w:val="Hiperpovezava"/>
            <w:rFonts w:ascii="Arial" w:hAnsi="Arial" w:cs="Arial"/>
            <w:sz w:val="20"/>
            <w:szCs w:val="20"/>
          </w:rPr>
          <w:t>https://data.consilium.europa.eu/doc/document/PE-48-2020-INIT/en/pdf%20</w:t>
        </w:r>
      </w:hyperlink>
      <w:r w:rsidRPr="009849C9">
        <w:rPr>
          <w:rFonts w:ascii="Arial" w:hAnsi="Arial" w:cs="Arial"/>
          <w:sz w:val="20"/>
          <w:szCs w:val="20"/>
        </w:rPr>
        <w:t>(</w:t>
      </w:r>
    </w:p>
    <w:p w:rsidR="004E1A01" w:rsidRPr="009849C9" w:rsidRDefault="004E1A01" w:rsidP="009849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849C9">
        <w:rPr>
          <w:rFonts w:ascii="Arial" w:hAnsi="Arial" w:cs="Arial"/>
          <w:sz w:val="20"/>
          <w:szCs w:val="20"/>
        </w:rPr>
        <w:t>Pripravila:</w:t>
      </w:r>
      <w:r w:rsidR="00923560">
        <w:rPr>
          <w:rFonts w:ascii="Arial" w:hAnsi="Arial" w:cs="Arial"/>
          <w:sz w:val="20"/>
          <w:szCs w:val="20"/>
        </w:rPr>
        <w:t xml:space="preserve"> </w:t>
      </w:r>
      <w:r w:rsidRPr="009849C9">
        <w:rPr>
          <w:rFonts w:ascii="Arial" w:hAnsi="Arial" w:cs="Arial"/>
          <w:sz w:val="20"/>
          <w:szCs w:val="20"/>
        </w:rPr>
        <w:t xml:space="preserve">Darja Kocbek </w:t>
      </w:r>
    </w:p>
    <w:p w:rsidR="004E1A01" w:rsidRDefault="004E1A01" w:rsidP="009849C9">
      <w:pPr>
        <w:spacing w:after="0"/>
      </w:pPr>
    </w:p>
    <w:p w:rsidR="00F76D07" w:rsidRDefault="00F76D07" w:rsidP="008009AE"/>
    <w:sectPr w:rsidR="00F76D07" w:rsidSect="00DB1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703D6"/>
    <w:multiLevelType w:val="hybridMultilevel"/>
    <w:tmpl w:val="D4E637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54D0"/>
    <w:rsid w:val="004E1A01"/>
    <w:rsid w:val="0066616A"/>
    <w:rsid w:val="008009AE"/>
    <w:rsid w:val="00923560"/>
    <w:rsid w:val="009732B9"/>
    <w:rsid w:val="009849C9"/>
    <w:rsid w:val="00A01204"/>
    <w:rsid w:val="00AB3381"/>
    <w:rsid w:val="00B554D0"/>
    <w:rsid w:val="00DB15C4"/>
    <w:rsid w:val="00F7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B15C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012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E1A0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849C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A012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1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1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ransport/themes/infrastructure/ten-t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transport/themes/mobilitystrategy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opa.eu/year-of-rail/index_s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ata.consilium.europa.eu/doc/document/PE-48-2020-INIT/en/pdf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transport/modes/rail/packages/2013_s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2020-12-30T19:28:00Z</dcterms:created>
  <dcterms:modified xsi:type="dcterms:W3CDTF">2020-12-30T20:56:00Z</dcterms:modified>
</cp:coreProperties>
</file>