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E8" w:rsidRPr="00083714" w:rsidRDefault="006C61E8" w:rsidP="006C61E8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1E8" w:rsidRDefault="006C61E8" w:rsidP="006C61E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C61E8" w:rsidRPr="00083714" w:rsidRDefault="006C61E8" w:rsidP="006C61E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C61E8" w:rsidRPr="00083714" w:rsidRDefault="006C61E8" w:rsidP="006C61E8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6C61E8" w:rsidRDefault="006C61E8" w:rsidP="006C61E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6C61E8" w:rsidRDefault="006C61E8" w:rsidP="006C61E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01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6C61E8" w:rsidRDefault="006C61E8" w:rsidP="006C61E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04. januar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6C61E8" w:rsidRPr="00083714" w:rsidRDefault="006C61E8" w:rsidP="006C61E8">
      <w:pPr>
        <w:tabs>
          <w:tab w:val="left" w:pos="3120"/>
        </w:tabs>
        <w:spacing w:after="0"/>
        <w:jc w:val="center"/>
        <w:rPr>
          <w:b/>
        </w:rPr>
      </w:pPr>
    </w:p>
    <w:p w:rsidR="006C61E8" w:rsidRDefault="006C61E8" w:rsidP="006C61E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Poročilo z zglednimi primeri za pravočasno vzpostavitev omrežja 5G z rešitvami za znižanje stroškov</w:t>
      </w:r>
    </w:p>
    <w:p w:rsidR="00547EDE" w:rsidRPr="009B78D9" w:rsidRDefault="00E9202A" w:rsidP="009B78D9">
      <w:pPr>
        <w:jc w:val="both"/>
        <w:rPr>
          <w:rFonts w:ascii="Arial" w:hAnsi="Arial" w:cs="Arial"/>
          <w:b/>
          <w:i/>
        </w:rPr>
      </w:pPr>
      <w:r w:rsidRPr="009B78D9">
        <w:rPr>
          <w:rFonts w:ascii="Arial" w:hAnsi="Arial" w:cs="Arial"/>
          <w:b/>
          <w:i/>
        </w:rPr>
        <w:t xml:space="preserve">Objavljeno je poročilo z zglednimi primeri držav članic za znižanje stroškov za vzpostavitev omrežja za 5G in pravočasno zagotovitev dostopnosti do tega omrežja. To poročilo je prvi korak pri </w:t>
      </w:r>
      <w:r w:rsidR="005760CD" w:rsidRPr="009B78D9">
        <w:rPr>
          <w:rFonts w:ascii="Arial" w:hAnsi="Arial" w:cs="Arial"/>
          <w:b/>
          <w:i/>
        </w:rPr>
        <w:t>oblikovanju</w:t>
      </w:r>
      <w:r w:rsidRPr="009B78D9">
        <w:rPr>
          <w:rFonts w:ascii="Arial" w:hAnsi="Arial" w:cs="Arial"/>
          <w:b/>
          <w:i/>
        </w:rPr>
        <w:t xml:space="preserve"> nabora orodij zglednih primerov v skladu s priporočilom Evropske komisije. V poročilu so navedeni uk</w:t>
      </w:r>
      <w:r w:rsidR="005760CD" w:rsidRPr="009B78D9">
        <w:rPr>
          <w:rFonts w:ascii="Arial" w:hAnsi="Arial" w:cs="Arial"/>
          <w:b/>
          <w:i/>
        </w:rPr>
        <w:t>repi, ki so se v državah članic</w:t>
      </w:r>
      <w:r w:rsidRPr="009B78D9">
        <w:rPr>
          <w:rFonts w:ascii="Arial" w:hAnsi="Arial" w:cs="Arial"/>
          <w:b/>
          <w:i/>
        </w:rPr>
        <w:t>ah izkazali za najbolj učinkovite</w:t>
      </w:r>
      <w:r w:rsidR="005760CD" w:rsidRPr="009B78D9">
        <w:rPr>
          <w:rFonts w:ascii="Arial" w:hAnsi="Arial" w:cs="Arial"/>
          <w:b/>
          <w:i/>
        </w:rPr>
        <w:t>, glavni trendi in najboljši primeri za izboljšanje povezljivosti.</w:t>
      </w:r>
    </w:p>
    <w:p w:rsidR="005760CD" w:rsidRPr="009B78D9" w:rsidRDefault="005760CD" w:rsidP="009B78D9">
      <w:pPr>
        <w:jc w:val="both"/>
        <w:rPr>
          <w:rFonts w:ascii="Arial" w:hAnsi="Arial" w:cs="Arial"/>
          <w:sz w:val="20"/>
          <w:szCs w:val="20"/>
        </w:rPr>
      </w:pPr>
      <w:r w:rsidRPr="009B78D9">
        <w:rPr>
          <w:rFonts w:ascii="Arial" w:hAnsi="Arial" w:cs="Arial"/>
          <w:sz w:val="20"/>
          <w:szCs w:val="20"/>
        </w:rPr>
        <w:t>Med ukrepi za znižanje stroškov  za vzpostavitev omrežij so v poročilu med drugim navedeni: izdaja dovoljenj po posebnih postopkih ali nadomestitev dovoljenj s soglasji, vzpostavitev kon</w:t>
      </w:r>
      <w:r w:rsidR="005D15A2" w:rsidRPr="009B78D9">
        <w:rPr>
          <w:rFonts w:ascii="Arial" w:hAnsi="Arial" w:cs="Arial"/>
          <w:sz w:val="20"/>
          <w:szCs w:val="20"/>
        </w:rPr>
        <w:t>taktne točke za vloge za izdajo dovoljenj ali možnost pošiljanja vlog po elektronski poti. Stroške je prav tako mogoče znižati z izboljšanjem nabora informacij o možnostih za delitev fizične infrastrukture, razširitvijo pravic za dostop do fizične infrastrukture, z zmanjšanjem okoljskega odtisa omrežij za elektronske komunikacije oziroma pripravo okoljske strategije za sektor informacijsko-komunikacijskih tehnologij.</w:t>
      </w:r>
    </w:p>
    <w:p w:rsidR="005D15A2" w:rsidRPr="009B78D9" w:rsidRDefault="005D15A2" w:rsidP="009B78D9">
      <w:pPr>
        <w:jc w:val="both"/>
        <w:rPr>
          <w:rFonts w:ascii="Arial" w:hAnsi="Arial" w:cs="Arial"/>
          <w:sz w:val="20"/>
          <w:szCs w:val="20"/>
        </w:rPr>
      </w:pPr>
      <w:r w:rsidRPr="009B78D9">
        <w:rPr>
          <w:rFonts w:ascii="Arial" w:hAnsi="Arial" w:cs="Arial"/>
          <w:sz w:val="20"/>
          <w:szCs w:val="20"/>
        </w:rPr>
        <w:t>Med ukrepi, ki lahko pripomorejo k temu, da bo zagotovljen pravočasen dostop do omrežja 5G, so v poročilu izpostavljene finančne spodbude za investitorje v okviru dražb</w:t>
      </w:r>
      <w:r w:rsidR="00857A6D" w:rsidRPr="009B78D9">
        <w:rPr>
          <w:rFonts w:ascii="Arial" w:hAnsi="Arial" w:cs="Arial"/>
          <w:sz w:val="20"/>
          <w:szCs w:val="20"/>
        </w:rPr>
        <w:t>, koherentna dodelitev spektra v podporo industrijski rabi 5G s čezmejno razsežnostjo (usklajevanje frekvenc in pogodbe o sodelovanju za zagotovitev čezmejnih storitev za reševanje, železniški in cestni transport), transparentnost na področju elektromagnetnih polj.</w:t>
      </w:r>
    </w:p>
    <w:p w:rsidR="00857A6D" w:rsidRPr="009B78D9" w:rsidRDefault="00857A6D" w:rsidP="009B78D9">
      <w:pPr>
        <w:jc w:val="both"/>
        <w:rPr>
          <w:rFonts w:ascii="Arial" w:hAnsi="Arial" w:cs="Arial"/>
          <w:b/>
          <w:sz w:val="20"/>
          <w:szCs w:val="20"/>
        </w:rPr>
      </w:pPr>
      <w:r w:rsidRPr="009B78D9">
        <w:rPr>
          <w:rFonts w:ascii="Arial" w:hAnsi="Arial" w:cs="Arial"/>
          <w:b/>
          <w:sz w:val="20"/>
          <w:szCs w:val="20"/>
        </w:rPr>
        <w:t>Koristne informacije:</w:t>
      </w:r>
    </w:p>
    <w:p w:rsidR="00857A6D" w:rsidRPr="009B78D9" w:rsidRDefault="00E56CF9" w:rsidP="009B78D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78D9">
        <w:rPr>
          <w:rFonts w:ascii="Arial" w:hAnsi="Arial" w:cs="Arial"/>
          <w:sz w:val="20"/>
          <w:szCs w:val="20"/>
        </w:rPr>
        <w:t>Sporočilo Evropske komisije s povezavo na poročilo in primere dobrih praks, ki so jih posredovale posamezne države članice:</w:t>
      </w:r>
    </w:p>
    <w:p w:rsidR="00E56CF9" w:rsidRPr="009B78D9" w:rsidRDefault="00E56CF9" w:rsidP="009B78D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B78D9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https://ec.europa.eu/digital-single-market/en/news/eu-member-states-present-report-best-practices-fast-network-rollout-first-step-towards</w:t>
        </w:r>
      </w:hyperlink>
    </w:p>
    <w:p w:rsidR="00E56CF9" w:rsidRPr="009B78D9" w:rsidRDefault="00E56CF9" w:rsidP="009B78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78D9">
        <w:rPr>
          <w:rFonts w:ascii="Arial" w:hAnsi="Arial" w:cs="Arial"/>
          <w:sz w:val="20"/>
          <w:szCs w:val="20"/>
        </w:rPr>
        <w:t>Pripravila:</w:t>
      </w:r>
    </w:p>
    <w:p w:rsidR="00E56CF9" w:rsidRPr="009B78D9" w:rsidRDefault="00E56CF9" w:rsidP="009B78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78D9">
        <w:rPr>
          <w:rFonts w:ascii="Arial" w:hAnsi="Arial" w:cs="Arial"/>
          <w:sz w:val="20"/>
          <w:szCs w:val="20"/>
        </w:rPr>
        <w:t>Darja Kocbek</w:t>
      </w:r>
    </w:p>
    <w:sectPr w:rsidR="00E56CF9" w:rsidRPr="009B78D9" w:rsidSect="00547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F2E94"/>
    <w:multiLevelType w:val="hybridMultilevel"/>
    <w:tmpl w:val="41B88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02A"/>
    <w:rsid w:val="00547EDE"/>
    <w:rsid w:val="005760CD"/>
    <w:rsid w:val="005D15A2"/>
    <w:rsid w:val="006C61E8"/>
    <w:rsid w:val="00857A6D"/>
    <w:rsid w:val="009B78D9"/>
    <w:rsid w:val="00E56CF9"/>
    <w:rsid w:val="00E9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7ED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6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CF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B78D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C6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6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eu-member-states-present-report-best-practices-fast-network-rollout-first-step-toward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2020-12-29T08:20:00Z</dcterms:created>
  <dcterms:modified xsi:type="dcterms:W3CDTF">2020-12-29T08:50:00Z</dcterms:modified>
</cp:coreProperties>
</file>