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504DF" w14:textId="77777777" w:rsidR="0053487F" w:rsidRPr="00454649" w:rsidRDefault="0053487F" w:rsidP="0053487F">
      <w:pPr>
        <w:jc w:val="both"/>
        <w:rPr>
          <w:rFonts w:ascii="Arial" w:hAnsi="Arial"/>
          <w:b/>
          <w:bCs/>
          <w:sz w:val="20"/>
          <w:szCs w:val="20"/>
        </w:rPr>
      </w:pPr>
      <w:r w:rsidRPr="00454649">
        <w:rPr>
          <w:rFonts w:ascii="Arial" w:hAnsi="Arial"/>
          <w:b/>
          <w:bCs/>
          <w:sz w:val="20"/>
          <w:szCs w:val="20"/>
        </w:rPr>
        <w:t>Evropska komisija z novo pobudo Dealflow ponuja pomoč inovatorjem</w:t>
      </w:r>
    </w:p>
    <w:p w14:paraId="0CA8C824" w14:textId="77777777" w:rsidR="0053487F" w:rsidRPr="00A67973" w:rsidRDefault="0053487F" w:rsidP="0053487F">
      <w:pPr>
        <w:jc w:val="both"/>
        <w:rPr>
          <w:rFonts w:ascii="Arial" w:hAnsi="Arial"/>
          <w:sz w:val="20"/>
          <w:szCs w:val="20"/>
        </w:rPr>
      </w:pPr>
    </w:p>
    <w:p w14:paraId="671C5AED" w14:textId="638903BB" w:rsidR="0053487F" w:rsidRDefault="0053487F" w:rsidP="0053487F">
      <w:pPr>
        <w:jc w:val="both"/>
        <w:rPr>
          <w:rFonts w:ascii="Arial" w:hAnsi="Arial"/>
          <w:sz w:val="20"/>
          <w:szCs w:val="20"/>
        </w:rPr>
      </w:pPr>
      <w:r w:rsidRPr="00A67973">
        <w:rPr>
          <w:rFonts w:ascii="Arial" w:hAnsi="Arial"/>
          <w:sz w:val="20"/>
          <w:szCs w:val="20"/>
        </w:rPr>
        <w:t>Evropska komisija je zagnala novo pobudo za pomoč inovatorjem, da bodo svoje inovacije lažje prenesli iz laboratorijev na trg. Pobuda Dealflow, ki se financira iz programa Obzorje 2020, bo delovala dve leti. Člani konzorcija bodo pomagali malim in srednjim podjetjem, zagonskim podjetjem, spin off podjetjem, ki so razvila inovacije s pomočjo evropskih sredstev. Pomoč Dealflow je lahko v obliki priprav za zbiranje finančnih sredstev, vzpostavitve novega podjetja in mreženja.</w:t>
      </w:r>
    </w:p>
    <w:p w14:paraId="1A61113A" w14:textId="18DE8DF4" w:rsidR="0053487F" w:rsidRDefault="0053487F" w:rsidP="0053487F">
      <w:pPr>
        <w:jc w:val="both"/>
        <w:rPr>
          <w:rFonts w:ascii="Arial" w:hAnsi="Arial"/>
          <w:sz w:val="20"/>
          <w:szCs w:val="20"/>
        </w:rPr>
      </w:pPr>
    </w:p>
    <w:p w14:paraId="1C77DE66" w14:textId="3B0E1264" w:rsidR="0053487F" w:rsidRPr="0053487F" w:rsidRDefault="0053487F" w:rsidP="0053487F">
      <w:pPr>
        <w:jc w:val="both"/>
        <w:rPr>
          <w:rFonts w:ascii="Arial" w:hAnsi="Arial"/>
          <w:sz w:val="20"/>
          <w:szCs w:val="20"/>
        </w:rPr>
      </w:pPr>
      <w:r w:rsidRPr="0053487F">
        <w:rPr>
          <w:rFonts w:ascii="Arial" w:hAnsi="Arial"/>
          <w:sz w:val="20"/>
          <w:szCs w:val="20"/>
        </w:rPr>
        <w:t>Spletna stran pobude Dealflow:</w:t>
      </w:r>
      <w:r>
        <w:rPr>
          <w:rFonts w:ascii="Arial" w:hAnsi="Arial"/>
          <w:sz w:val="20"/>
          <w:szCs w:val="20"/>
        </w:rPr>
        <w:t xml:space="preserve"> </w:t>
      </w:r>
      <w:hyperlink r:id="rId5" w:history="1">
        <w:r w:rsidR="00CF652D" w:rsidRPr="00F75109">
          <w:rPr>
            <w:rStyle w:val="Hyperlink"/>
            <w:rFonts w:ascii="Arial" w:hAnsi="Arial"/>
            <w:sz w:val="20"/>
            <w:szCs w:val="20"/>
          </w:rPr>
          <w:t>https://dealflow.eu/</w:t>
        </w:r>
      </w:hyperlink>
    </w:p>
    <w:p w14:paraId="70664641" w14:textId="6A7B15E0" w:rsidR="0053487F" w:rsidRDefault="0053487F" w:rsidP="0053487F">
      <w:pPr>
        <w:jc w:val="both"/>
        <w:rPr>
          <w:rFonts w:ascii="Arial" w:hAnsi="Arial"/>
          <w:sz w:val="20"/>
          <w:szCs w:val="20"/>
        </w:rPr>
      </w:pPr>
    </w:p>
    <w:p w14:paraId="0F0323F8" w14:textId="77777777" w:rsidR="0053487F" w:rsidRDefault="0053487F" w:rsidP="0053487F">
      <w:pPr>
        <w:jc w:val="both"/>
        <w:rPr>
          <w:rFonts w:ascii="Arial" w:hAnsi="Arial"/>
          <w:sz w:val="20"/>
          <w:szCs w:val="20"/>
        </w:rPr>
      </w:pPr>
    </w:p>
    <w:p w14:paraId="3A3461F4" w14:textId="30776B90" w:rsidR="0053487F" w:rsidRPr="00454649" w:rsidRDefault="0053487F" w:rsidP="0053487F">
      <w:pPr>
        <w:jc w:val="both"/>
        <w:rPr>
          <w:rFonts w:ascii="Arial" w:hAnsi="Arial"/>
          <w:b/>
          <w:bCs/>
          <w:sz w:val="20"/>
          <w:szCs w:val="20"/>
        </w:rPr>
      </w:pPr>
      <w:r w:rsidRPr="00454649">
        <w:rPr>
          <w:rFonts w:ascii="Arial" w:hAnsi="Arial"/>
          <w:b/>
          <w:bCs/>
          <w:sz w:val="20"/>
          <w:szCs w:val="20"/>
        </w:rPr>
        <w:t>Za nujne raziskave o koronavirusu je na voljo 122 milijonov evrov</w:t>
      </w:r>
    </w:p>
    <w:p w14:paraId="069E943A" w14:textId="77777777" w:rsidR="0053487F" w:rsidRDefault="0053487F" w:rsidP="0053487F">
      <w:pPr>
        <w:jc w:val="both"/>
        <w:rPr>
          <w:rFonts w:ascii="Arial" w:hAnsi="Arial"/>
          <w:sz w:val="20"/>
          <w:szCs w:val="20"/>
        </w:rPr>
      </w:pPr>
    </w:p>
    <w:p w14:paraId="0CA92C98" w14:textId="77777777" w:rsidR="0053487F" w:rsidRDefault="0053487F" w:rsidP="0053487F">
      <w:pPr>
        <w:rPr>
          <w:rFonts w:ascii="Arial" w:hAnsi="Arial"/>
          <w:sz w:val="20"/>
          <w:szCs w:val="20"/>
        </w:rPr>
      </w:pPr>
      <w:r w:rsidRPr="00C8036C">
        <w:rPr>
          <w:rFonts w:ascii="Arial" w:hAnsi="Arial"/>
          <w:sz w:val="20"/>
          <w:szCs w:val="20"/>
        </w:rPr>
        <w:t>Evropska komisija je objavila nov razpis prek katerega zbira prijave projektov za nujno potrebne raziskave o koronavirusu. Iz programa za raziskave in inovacije Obzorje 2020 je zagotovila dodatnih 122 milijonov evrov. Razdelila jih bo za projekte za  preoblikovanje proizvodnje, da bi omogočila hitro proizvodnjo osnovne medicinske opreme in sanitetnega materiala, ki sta potrebna za testiranje, zdravljenje in preventivo, ter razvoj medicinske tehnologije in digitalnih orodij za izboljšanje odkrivanja, nadzora in oskrbe bolnikov. Rok za oddajo vlog je 11. junij 2020.</w:t>
      </w:r>
    </w:p>
    <w:p w14:paraId="51208D8C" w14:textId="77777777" w:rsidR="0053487F" w:rsidRDefault="0053487F" w:rsidP="0053487F">
      <w:pPr>
        <w:rPr>
          <w:rFonts w:ascii="Arial" w:hAnsi="Arial"/>
          <w:sz w:val="20"/>
          <w:szCs w:val="20"/>
        </w:rPr>
      </w:pPr>
    </w:p>
    <w:p w14:paraId="68E314E4" w14:textId="77777777" w:rsidR="0053487F" w:rsidRPr="00F93A42" w:rsidRDefault="0053487F" w:rsidP="0053487F">
      <w:pPr>
        <w:rPr>
          <w:rFonts w:ascii="Arial" w:eastAsiaTheme="minorHAnsi" w:hAnsi="Arial"/>
          <w:kern w:val="0"/>
          <w:sz w:val="20"/>
          <w:szCs w:val="20"/>
          <w:lang w:eastAsia="en-US" w:bidi="ar-SA"/>
        </w:rPr>
      </w:pPr>
      <w:r w:rsidRPr="00F93A42">
        <w:rPr>
          <w:rFonts w:ascii="Arial" w:hAnsi="Arial"/>
          <w:sz w:val="20"/>
          <w:szCs w:val="20"/>
        </w:rPr>
        <w:t>Razpis:</w:t>
      </w:r>
      <w:hyperlink r:id="rId6" w:history="1">
        <w:r w:rsidRPr="00F75109">
          <w:rPr>
            <w:rStyle w:val="Hyperlink"/>
            <w:rFonts w:ascii="Arial" w:hAnsi="Arial"/>
            <w:sz w:val="20"/>
            <w:szCs w:val="20"/>
          </w:rPr>
          <w:t>https://ec.europa.eu/info/funding-tenders/opportunities/portal/screen/opportunities/topic-search;freeTextSearchKeyword=Coronavirus;typeCodes=0,1;statusCodes=31094502;programCode=null;programDivisionCode=null;focusAreaCode=null;crossCuttingPriorityCode=null;callCode=Default;sortQuery=submissionStatus;orderBy=asc;onlyTenders=false;topicListKey=callTopicSearchTableState</w:t>
        </w:r>
      </w:hyperlink>
    </w:p>
    <w:p w14:paraId="6AA55148" w14:textId="77777777" w:rsidR="0053487F" w:rsidRDefault="0053487F" w:rsidP="0053487F">
      <w:pPr>
        <w:rPr>
          <w:rFonts w:ascii="Arial" w:hAnsi="Arial"/>
          <w:sz w:val="20"/>
          <w:szCs w:val="20"/>
        </w:rPr>
      </w:pPr>
    </w:p>
    <w:p w14:paraId="632C2AEB" w14:textId="77777777" w:rsidR="0053487F" w:rsidRPr="00F93A42" w:rsidRDefault="0053487F" w:rsidP="0053487F">
      <w:pPr>
        <w:rPr>
          <w:rFonts w:ascii="Arial" w:hAnsi="Arial"/>
          <w:sz w:val="20"/>
          <w:szCs w:val="20"/>
        </w:rPr>
      </w:pPr>
      <w:r w:rsidRPr="00F93A42">
        <w:rPr>
          <w:rFonts w:ascii="Arial" w:hAnsi="Arial"/>
          <w:sz w:val="20"/>
          <w:szCs w:val="20"/>
        </w:rPr>
        <w:t>Spletna stran z informacijami o raziskavah in inovacijah v zvezi s koronavirusom:</w:t>
      </w:r>
      <w:r>
        <w:rPr>
          <w:rFonts w:ascii="Arial" w:hAnsi="Arial"/>
          <w:sz w:val="20"/>
          <w:szCs w:val="20"/>
        </w:rPr>
        <w:t xml:space="preserve"> </w:t>
      </w:r>
      <w:hyperlink r:id="rId7" w:history="1">
        <w:r w:rsidRPr="00F75109">
          <w:rPr>
            <w:rStyle w:val="Hyperlink"/>
            <w:rFonts w:ascii="Arial" w:hAnsi="Arial"/>
            <w:sz w:val="20"/>
            <w:szCs w:val="20"/>
          </w:rPr>
          <w:t>https://ec.europa.eu/info/research-and-innovation/research-area/health-research-and-innovation/coronavirus-research-and-innovation_sl</w:t>
        </w:r>
      </w:hyperlink>
    </w:p>
    <w:p w14:paraId="2CF87FBE" w14:textId="77777777" w:rsidR="0053487F" w:rsidRDefault="0053487F" w:rsidP="0053487F">
      <w:pPr>
        <w:jc w:val="both"/>
        <w:rPr>
          <w:rFonts w:ascii="Arial" w:hAnsi="Arial"/>
          <w:sz w:val="20"/>
          <w:szCs w:val="20"/>
        </w:rPr>
      </w:pPr>
    </w:p>
    <w:p w14:paraId="3786AAD8" w14:textId="77777777" w:rsidR="0053487F" w:rsidRDefault="0053487F" w:rsidP="00FB5201">
      <w:pPr>
        <w:jc w:val="both"/>
        <w:rPr>
          <w:rFonts w:ascii="Arial" w:hAnsi="Arial"/>
          <w:sz w:val="20"/>
          <w:szCs w:val="20"/>
        </w:rPr>
      </w:pPr>
    </w:p>
    <w:p w14:paraId="31C5CCF4" w14:textId="45D92C56" w:rsidR="00FB5201" w:rsidRPr="00A55316" w:rsidRDefault="00FB5201" w:rsidP="00FB5201">
      <w:pPr>
        <w:jc w:val="both"/>
        <w:rPr>
          <w:rFonts w:ascii="Arial" w:hAnsi="Arial"/>
          <w:b/>
          <w:bCs/>
          <w:sz w:val="20"/>
          <w:szCs w:val="20"/>
        </w:rPr>
      </w:pPr>
      <w:r w:rsidRPr="00A55316">
        <w:rPr>
          <w:rFonts w:ascii="Arial" w:hAnsi="Arial"/>
          <w:b/>
          <w:bCs/>
          <w:sz w:val="20"/>
          <w:szCs w:val="20"/>
        </w:rPr>
        <w:t>Veliko zanimanje za razpis EIC Accelerator  iz naslova zelenega načrta</w:t>
      </w:r>
    </w:p>
    <w:p w14:paraId="0C547673" w14:textId="77777777" w:rsidR="00FB5201" w:rsidRDefault="00FB5201" w:rsidP="00FB5201">
      <w:pPr>
        <w:jc w:val="both"/>
        <w:rPr>
          <w:rFonts w:ascii="Arial" w:hAnsi="Arial"/>
          <w:sz w:val="20"/>
          <w:szCs w:val="20"/>
        </w:rPr>
      </w:pPr>
    </w:p>
    <w:p w14:paraId="1F50CA09" w14:textId="77777777" w:rsidR="00FB5201" w:rsidRDefault="00FB5201" w:rsidP="00FB5201">
      <w:pPr>
        <w:jc w:val="both"/>
        <w:rPr>
          <w:rFonts w:ascii="Arial" w:hAnsi="Arial"/>
          <w:sz w:val="20"/>
          <w:szCs w:val="20"/>
        </w:rPr>
      </w:pPr>
      <w:r>
        <w:rPr>
          <w:rFonts w:ascii="Arial" w:hAnsi="Arial"/>
          <w:sz w:val="20"/>
          <w:szCs w:val="20"/>
        </w:rPr>
        <w:t xml:space="preserve">Evropska komisija navaja, da je 2000 podjetij, ki se ukvarjajo s trajnostnimi inovacijami, poslalo prijavo na razpis Evropskega sveta za inovacije (EIC) Pospeševalnik (Accelerator) iz naslova Evropskega zelenega načrta. </w:t>
      </w:r>
    </w:p>
    <w:p w14:paraId="79636DD8" w14:textId="77777777" w:rsidR="00FB5201" w:rsidRDefault="00FB5201" w:rsidP="00FB5201">
      <w:pPr>
        <w:jc w:val="both"/>
        <w:rPr>
          <w:rFonts w:ascii="Arial" w:hAnsi="Arial"/>
          <w:sz w:val="20"/>
          <w:szCs w:val="20"/>
        </w:rPr>
      </w:pPr>
    </w:p>
    <w:p w14:paraId="7679E89C" w14:textId="77777777" w:rsidR="00FB5201" w:rsidRDefault="00FB5201" w:rsidP="00FB5201">
      <w:pPr>
        <w:jc w:val="both"/>
        <w:rPr>
          <w:rFonts w:ascii="Arial" w:hAnsi="Arial"/>
          <w:sz w:val="20"/>
          <w:szCs w:val="20"/>
        </w:rPr>
      </w:pPr>
      <w:r>
        <w:rPr>
          <w:rFonts w:ascii="Arial" w:hAnsi="Arial"/>
          <w:sz w:val="20"/>
          <w:szCs w:val="20"/>
        </w:rPr>
        <w:t>Več:</w:t>
      </w:r>
    </w:p>
    <w:p w14:paraId="3DDD8D4D" w14:textId="77777777" w:rsidR="00FB5201" w:rsidRDefault="00FB5201" w:rsidP="00FB5201">
      <w:pPr>
        <w:jc w:val="both"/>
        <w:rPr>
          <w:rFonts w:ascii="Arial" w:hAnsi="Arial"/>
          <w:sz w:val="20"/>
          <w:szCs w:val="20"/>
        </w:rPr>
      </w:pPr>
      <w:hyperlink r:id="rId8" w:history="1">
        <w:r>
          <w:rPr>
            <w:rStyle w:val="Hyperlink"/>
            <w:rFonts w:ascii="Arial" w:hAnsi="Arial"/>
            <w:sz w:val="20"/>
            <w:szCs w:val="20"/>
          </w:rPr>
          <w:t>Sporočilo Evropske komisije</w:t>
        </w:r>
      </w:hyperlink>
    </w:p>
    <w:p w14:paraId="56A668A7" w14:textId="46BAC89C" w:rsidR="001E0747" w:rsidRDefault="00A55316"/>
    <w:p w14:paraId="06AEE357" w14:textId="77777777" w:rsidR="00CF652D" w:rsidRDefault="00CF652D"/>
    <w:p w14:paraId="57102F35" w14:textId="77777777" w:rsidR="00FB5201" w:rsidRPr="00A55316" w:rsidRDefault="00FB5201" w:rsidP="00FB5201">
      <w:pPr>
        <w:jc w:val="both"/>
        <w:rPr>
          <w:rFonts w:ascii="Arial" w:hAnsi="Arial"/>
          <w:b/>
          <w:bCs/>
          <w:sz w:val="20"/>
          <w:szCs w:val="20"/>
        </w:rPr>
      </w:pPr>
      <w:r w:rsidRPr="00A55316">
        <w:rPr>
          <w:rFonts w:ascii="Arial" w:hAnsi="Arial"/>
          <w:b/>
          <w:bCs/>
          <w:sz w:val="20"/>
          <w:szCs w:val="20"/>
        </w:rPr>
        <w:t>Posodobljen seznam nacionalnih kontaktnih točk za podatke s področja transporta</w:t>
      </w:r>
    </w:p>
    <w:p w14:paraId="22EFF34D" w14:textId="77777777" w:rsidR="00FB5201" w:rsidRDefault="00FB5201" w:rsidP="00FB5201">
      <w:pPr>
        <w:jc w:val="both"/>
        <w:rPr>
          <w:rFonts w:ascii="Arial" w:hAnsi="Arial"/>
          <w:sz w:val="20"/>
          <w:szCs w:val="20"/>
        </w:rPr>
      </w:pPr>
    </w:p>
    <w:p w14:paraId="6A558BCA" w14:textId="77777777" w:rsidR="00FB5201" w:rsidRDefault="00FB5201" w:rsidP="00FB5201">
      <w:pPr>
        <w:jc w:val="both"/>
        <w:rPr>
          <w:rFonts w:ascii="Arial" w:hAnsi="Arial"/>
          <w:sz w:val="20"/>
          <w:szCs w:val="20"/>
        </w:rPr>
      </w:pPr>
      <w:r>
        <w:rPr>
          <w:rFonts w:ascii="Arial" w:hAnsi="Arial"/>
          <w:sz w:val="20"/>
          <w:szCs w:val="20"/>
        </w:rPr>
        <w:t>Evropska komisija je objavila posodobljen seznam nacionalnih kontaktnih točk mehanizma za dostop, izmenjavo in uporabo podatkov, povezanih s prometom v skladu z delegiranimi akti direktive o okviru za uvajanje inteligentnih prometnih sistemov v cestnem prometu in za vmesnike do drugih vrst prevoza.</w:t>
      </w:r>
    </w:p>
    <w:p w14:paraId="6EE0B4C6" w14:textId="77777777" w:rsidR="00FB5201" w:rsidRDefault="00FB5201" w:rsidP="00FB5201">
      <w:pPr>
        <w:jc w:val="both"/>
        <w:rPr>
          <w:rFonts w:ascii="Arial" w:hAnsi="Arial"/>
          <w:sz w:val="20"/>
          <w:szCs w:val="20"/>
        </w:rPr>
      </w:pPr>
    </w:p>
    <w:p w14:paraId="3D83FB74" w14:textId="77777777" w:rsidR="00FB5201" w:rsidRDefault="00FB5201" w:rsidP="00FB5201">
      <w:pPr>
        <w:jc w:val="both"/>
        <w:rPr>
          <w:rFonts w:ascii="Arial" w:hAnsi="Arial"/>
          <w:sz w:val="20"/>
          <w:szCs w:val="20"/>
        </w:rPr>
      </w:pPr>
      <w:r>
        <w:rPr>
          <w:rFonts w:ascii="Arial" w:hAnsi="Arial"/>
          <w:sz w:val="20"/>
          <w:szCs w:val="20"/>
        </w:rPr>
        <w:t>Več:</w:t>
      </w:r>
    </w:p>
    <w:p w14:paraId="0B525DCC" w14:textId="77777777" w:rsidR="00FB5201" w:rsidRDefault="00FB5201" w:rsidP="00FB5201">
      <w:pPr>
        <w:jc w:val="both"/>
        <w:rPr>
          <w:rFonts w:ascii="Arial" w:hAnsi="Arial"/>
          <w:sz w:val="20"/>
          <w:szCs w:val="20"/>
        </w:rPr>
      </w:pPr>
      <w:hyperlink r:id="rId9" w:history="1">
        <w:r>
          <w:rPr>
            <w:rStyle w:val="Hyperlink"/>
            <w:rFonts w:ascii="Arial" w:hAnsi="Arial"/>
            <w:sz w:val="20"/>
            <w:szCs w:val="20"/>
          </w:rPr>
          <w:t>Posodobljen seznam</w:t>
        </w:r>
      </w:hyperlink>
    </w:p>
    <w:p w14:paraId="6BD2DDB5" w14:textId="7E542BD6" w:rsidR="00FB5201" w:rsidRDefault="00FB5201"/>
    <w:p w14:paraId="7E22A986" w14:textId="77777777" w:rsidR="00CF652D" w:rsidRDefault="00CF652D"/>
    <w:p w14:paraId="4485B6A8" w14:textId="77777777" w:rsidR="00C75DF6" w:rsidRPr="00A55316" w:rsidRDefault="00C75DF6" w:rsidP="00C75DF6">
      <w:pPr>
        <w:jc w:val="both"/>
        <w:rPr>
          <w:rFonts w:ascii="Arial" w:hAnsi="Arial"/>
          <w:b/>
          <w:bCs/>
          <w:sz w:val="20"/>
          <w:szCs w:val="20"/>
        </w:rPr>
      </w:pPr>
      <w:r w:rsidRPr="00A55316">
        <w:rPr>
          <w:rFonts w:ascii="Arial" w:hAnsi="Arial"/>
          <w:b/>
          <w:bCs/>
          <w:sz w:val="20"/>
          <w:szCs w:val="20"/>
        </w:rPr>
        <w:t>Podaljšan je rok za javno posvetovanje o prenovljeni strategiji za trajnostno financiranje</w:t>
      </w:r>
    </w:p>
    <w:p w14:paraId="58BD2445" w14:textId="77777777" w:rsidR="00C75DF6" w:rsidRDefault="00C75DF6" w:rsidP="00C75DF6">
      <w:pPr>
        <w:jc w:val="both"/>
        <w:rPr>
          <w:rFonts w:ascii="Arial" w:hAnsi="Arial"/>
          <w:sz w:val="20"/>
          <w:szCs w:val="20"/>
        </w:rPr>
      </w:pPr>
    </w:p>
    <w:p w14:paraId="6B2551B7" w14:textId="77777777" w:rsidR="00C75DF6" w:rsidRDefault="00C75DF6" w:rsidP="00C75DF6">
      <w:pPr>
        <w:jc w:val="both"/>
        <w:rPr>
          <w:rFonts w:ascii="Arial" w:hAnsi="Arial"/>
          <w:sz w:val="20"/>
          <w:szCs w:val="20"/>
        </w:rPr>
      </w:pPr>
      <w:r>
        <w:rPr>
          <w:rFonts w:ascii="Arial" w:hAnsi="Arial"/>
          <w:sz w:val="20"/>
          <w:szCs w:val="20"/>
        </w:rPr>
        <w:t>Evropska komisija deležnikom s področja industrije, raziskav in tehnologij, sporoča, da lahko še do 15. julija prek javnega posvetovanja sporočijo svoja mnenja in predloge glede prenovljene strategije o trajnostnem financiranju.</w:t>
      </w:r>
    </w:p>
    <w:p w14:paraId="11BCD3D7" w14:textId="77777777" w:rsidR="00C75DF6" w:rsidRDefault="00C75DF6" w:rsidP="00C75DF6">
      <w:pPr>
        <w:jc w:val="both"/>
        <w:rPr>
          <w:rFonts w:ascii="Arial" w:hAnsi="Arial"/>
          <w:sz w:val="20"/>
          <w:szCs w:val="20"/>
        </w:rPr>
      </w:pPr>
    </w:p>
    <w:p w14:paraId="1417AA69" w14:textId="77777777" w:rsidR="00C75DF6" w:rsidRDefault="00C75DF6" w:rsidP="00C75DF6">
      <w:pPr>
        <w:jc w:val="both"/>
        <w:rPr>
          <w:rFonts w:ascii="Arial" w:hAnsi="Arial"/>
          <w:sz w:val="20"/>
          <w:szCs w:val="20"/>
        </w:rPr>
      </w:pPr>
      <w:r>
        <w:rPr>
          <w:rFonts w:ascii="Arial" w:hAnsi="Arial"/>
          <w:sz w:val="20"/>
          <w:szCs w:val="20"/>
        </w:rPr>
        <w:t>Več:</w:t>
      </w:r>
    </w:p>
    <w:p w14:paraId="6AF146AC" w14:textId="12CE7264" w:rsidR="00C75DF6" w:rsidRDefault="00C75DF6" w:rsidP="00C75DF6">
      <w:pPr>
        <w:jc w:val="both"/>
      </w:pPr>
      <w:hyperlink r:id="rId10" w:history="1">
        <w:r>
          <w:rPr>
            <w:rStyle w:val="Hyperlink"/>
            <w:rFonts w:ascii="Arial" w:hAnsi="Arial"/>
            <w:sz w:val="20"/>
            <w:szCs w:val="20"/>
          </w:rPr>
          <w:t>Javno posvetovanje</w:t>
        </w:r>
      </w:hyperlink>
    </w:p>
    <w:p w14:paraId="150731C9" w14:textId="2E561075" w:rsidR="00CF652D" w:rsidRDefault="00CF652D" w:rsidP="00C75DF6">
      <w:pPr>
        <w:jc w:val="both"/>
      </w:pPr>
    </w:p>
    <w:p w14:paraId="36C232DE" w14:textId="77777777" w:rsidR="00A55316" w:rsidRDefault="00A55316" w:rsidP="00C75DF6">
      <w:pPr>
        <w:jc w:val="both"/>
      </w:pPr>
    </w:p>
    <w:p w14:paraId="57A7ED82" w14:textId="77777777" w:rsidR="00CF652D" w:rsidRPr="00A55316" w:rsidRDefault="00CF652D" w:rsidP="00CF652D">
      <w:pPr>
        <w:jc w:val="both"/>
        <w:rPr>
          <w:rFonts w:ascii="Arial" w:hAnsi="Arial"/>
          <w:b/>
          <w:bCs/>
          <w:sz w:val="20"/>
          <w:szCs w:val="20"/>
        </w:rPr>
      </w:pPr>
      <w:r w:rsidRPr="00A55316">
        <w:rPr>
          <w:rFonts w:ascii="Arial" w:hAnsi="Arial"/>
          <w:b/>
          <w:bCs/>
          <w:sz w:val="20"/>
          <w:szCs w:val="20"/>
        </w:rPr>
        <w:t>Evropska komisija je registrirala dve novi državljanski pobudi</w:t>
      </w:r>
    </w:p>
    <w:p w14:paraId="604F77F4" w14:textId="77777777" w:rsidR="00CF652D" w:rsidRPr="00232839" w:rsidRDefault="00CF652D" w:rsidP="00CF652D">
      <w:pPr>
        <w:jc w:val="both"/>
        <w:rPr>
          <w:rFonts w:ascii="Arial" w:hAnsi="Arial"/>
          <w:sz w:val="20"/>
          <w:szCs w:val="20"/>
        </w:rPr>
      </w:pPr>
    </w:p>
    <w:p w14:paraId="63B9C2C6" w14:textId="77777777" w:rsidR="00CF652D" w:rsidRPr="00232839" w:rsidRDefault="00CF652D" w:rsidP="00CF652D">
      <w:pPr>
        <w:jc w:val="both"/>
        <w:rPr>
          <w:rFonts w:ascii="Arial" w:hAnsi="Arial"/>
          <w:sz w:val="20"/>
          <w:szCs w:val="20"/>
        </w:rPr>
      </w:pPr>
      <w:r w:rsidRPr="00232839">
        <w:rPr>
          <w:rFonts w:ascii="Arial" w:hAnsi="Arial"/>
          <w:sz w:val="20"/>
          <w:szCs w:val="20"/>
        </w:rPr>
        <w:t>Evropska komisija je registrirala dve novi evropski državljanski pobudi, in sicer za uvedbo univerzalnega temeljnega dohodka (UTD) po vsej EU in za svobodno izmenjavo vsebin. Pobudniki v prihodnjih šestih mesecih lahko začnejo zbirati podpise. V letu dni jih morajo zbrati vsaj 1 milijon.</w:t>
      </w:r>
    </w:p>
    <w:p w14:paraId="68721EC9" w14:textId="77777777" w:rsidR="00CF652D" w:rsidRPr="00232839" w:rsidRDefault="00CF652D" w:rsidP="00CF652D">
      <w:pPr>
        <w:jc w:val="both"/>
        <w:rPr>
          <w:rFonts w:ascii="Arial" w:hAnsi="Arial"/>
          <w:sz w:val="20"/>
          <w:szCs w:val="20"/>
        </w:rPr>
      </w:pPr>
    </w:p>
    <w:p w14:paraId="7D1404B2" w14:textId="77777777" w:rsidR="00CF652D" w:rsidRPr="00232839" w:rsidRDefault="00CF652D" w:rsidP="00CF652D">
      <w:pPr>
        <w:jc w:val="both"/>
        <w:rPr>
          <w:rFonts w:ascii="Arial" w:hAnsi="Arial"/>
          <w:sz w:val="20"/>
          <w:szCs w:val="20"/>
        </w:rPr>
      </w:pPr>
      <w:r w:rsidRPr="00232839">
        <w:rPr>
          <w:rFonts w:ascii="Arial" w:hAnsi="Arial"/>
          <w:sz w:val="20"/>
          <w:szCs w:val="20"/>
        </w:rPr>
        <w:t>Več:</w:t>
      </w:r>
    </w:p>
    <w:p w14:paraId="04050E4A" w14:textId="77777777" w:rsidR="00CF652D" w:rsidRPr="00232839" w:rsidRDefault="00CF652D" w:rsidP="00CF652D">
      <w:pPr>
        <w:jc w:val="both"/>
        <w:rPr>
          <w:rFonts w:ascii="Arial" w:hAnsi="Arial"/>
          <w:sz w:val="20"/>
          <w:szCs w:val="20"/>
        </w:rPr>
      </w:pPr>
      <w:hyperlink r:id="rId11" w:history="1">
        <w:r w:rsidRPr="00232839">
          <w:rPr>
            <w:rStyle w:val="Hyperlink"/>
            <w:rFonts w:ascii="Arial" w:hAnsi="Arial"/>
            <w:sz w:val="20"/>
            <w:szCs w:val="20"/>
          </w:rPr>
          <w:t>Spletna stran pobude za uvedbo univerzalnega temeljnega dohodka</w:t>
        </w:r>
      </w:hyperlink>
    </w:p>
    <w:p w14:paraId="5101D678" w14:textId="77777777" w:rsidR="00CF652D" w:rsidRPr="00232839" w:rsidRDefault="00CF652D" w:rsidP="00CF652D">
      <w:pPr>
        <w:jc w:val="both"/>
        <w:rPr>
          <w:rFonts w:ascii="Arial" w:hAnsi="Arial"/>
          <w:sz w:val="20"/>
          <w:szCs w:val="20"/>
        </w:rPr>
      </w:pPr>
      <w:r w:rsidRPr="00232839">
        <w:rPr>
          <w:rFonts w:ascii="Arial" w:hAnsi="Arial"/>
          <w:sz w:val="20"/>
          <w:szCs w:val="20"/>
        </w:rPr>
        <w:t>in</w:t>
      </w:r>
    </w:p>
    <w:p w14:paraId="4E8D8C2A" w14:textId="439569D4" w:rsidR="00CF652D" w:rsidRDefault="00CF652D" w:rsidP="00CF652D">
      <w:pPr>
        <w:jc w:val="both"/>
        <w:rPr>
          <w:rStyle w:val="Hyperlink"/>
          <w:rFonts w:ascii="Arial" w:hAnsi="Arial"/>
          <w:sz w:val="20"/>
          <w:szCs w:val="20"/>
        </w:rPr>
      </w:pPr>
      <w:hyperlink r:id="rId12" w:history="1">
        <w:r w:rsidRPr="00232839">
          <w:rPr>
            <w:rStyle w:val="Hyperlink"/>
            <w:rFonts w:ascii="Arial" w:hAnsi="Arial"/>
            <w:sz w:val="20"/>
            <w:szCs w:val="20"/>
          </w:rPr>
          <w:t>Spletna stran z informacijami o pobudi za svobodno izmenjavo vsebin</w:t>
        </w:r>
      </w:hyperlink>
    </w:p>
    <w:p w14:paraId="5609CCD8" w14:textId="51046AB6" w:rsidR="00CF652D" w:rsidRDefault="00CF652D" w:rsidP="00CF652D">
      <w:pPr>
        <w:jc w:val="both"/>
        <w:rPr>
          <w:rStyle w:val="Hyperlink"/>
          <w:rFonts w:ascii="Arial" w:hAnsi="Arial"/>
          <w:sz w:val="20"/>
          <w:szCs w:val="20"/>
        </w:rPr>
      </w:pPr>
    </w:p>
    <w:p w14:paraId="317EA5B4" w14:textId="77777777" w:rsidR="00CF652D" w:rsidRPr="00232839" w:rsidRDefault="00CF652D" w:rsidP="00CF652D">
      <w:pPr>
        <w:jc w:val="both"/>
        <w:rPr>
          <w:rFonts w:ascii="Arial" w:hAnsi="Arial"/>
          <w:sz w:val="20"/>
          <w:szCs w:val="20"/>
        </w:rPr>
      </w:pPr>
    </w:p>
    <w:p w14:paraId="2747078B" w14:textId="77777777" w:rsidR="00CF652D" w:rsidRPr="00232839" w:rsidRDefault="00CF652D" w:rsidP="00CF652D">
      <w:pPr>
        <w:jc w:val="both"/>
        <w:rPr>
          <w:rFonts w:ascii="Arial" w:hAnsi="Arial"/>
          <w:sz w:val="20"/>
          <w:szCs w:val="20"/>
        </w:rPr>
      </w:pPr>
    </w:p>
    <w:p w14:paraId="6AF922A1" w14:textId="77777777" w:rsidR="00CF652D" w:rsidRPr="00A55316" w:rsidRDefault="00CF652D" w:rsidP="00CF652D">
      <w:pPr>
        <w:jc w:val="both"/>
        <w:rPr>
          <w:rFonts w:ascii="Arial" w:hAnsi="Arial"/>
          <w:b/>
          <w:bCs/>
          <w:sz w:val="20"/>
          <w:szCs w:val="20"/>
        </w:rPr>
      </w:pPr>
      <w:r w:rsidRPr="00A55316">
        <w:rPr>
          <w:rFonts w:ascii="Arial" w:hAnsi="Arial"/>
          <w:b/>
          <w:bCs/>
          <w:sz w:val="20"/>
          <w:szCs w:val="20"/>
        </w:rPr>
        <w:t>Predlog priporočil Evropske komisije za Slovenijo</w:t>
      </w:r>
    </w:p>
    <w:p w14:paraId="72B27119" w14:textId="77777777" w:rsidR="00CF652D" w:rsidRPr="00232839" w:rsidRDefault="00CF652D" w:rsidP="00CF652D">
      <w:pPr>
        <w:jc w:val="both"/>
        <w:rPr>
          <w:rFonts w:ascii="Arial" w:hAnsi="Arial"/>
          <w:sz w:val="20"/>
          <w:szCs w:val="20"/>
        </w:rPr>
      </w:pPr>
    </w:p>
    <w:p w14:paraId="42A9BA9A" w14:textId="77777777" w:rsidR="00CF652D" w:rsidRPr="00232839" w:rsidRDefault="00CF652D" w:rsidP="00CF652D">
      <w:pPr>
        <w:jc w:val="both"/>
        <w:rPr>
          <w:rFonts w:ascii="Arial" w:hAnsi="Arial"/>
          <w:sz w:val="20"/>
          <w:szCs w:val="20"/>
        </w:rPr>
      </w:pPr>
      <w:r w:rsidRPr="00232839">
        <w:rPr>
          <w:rFonts w:ascii="Arial" w:hAnsi="Arial"/>
          <w:sz w:val="20"/>
          <w:szCs w:val="20"/>
        </w:rPr>
        <w:t>Evropska komisija je v okviru evropskega semestra Sloveniji za leti 2020 in 2021 poslala tri priporočila. V prvem priporočilu jo poziva, naj v skladu s splošno odstopno klavzulo Pakta za stabilnost in rast sprejme vse potrebne ukrepe za učinkovit odziv na epidemijo, ohranitev gospodarstva in podporo okrevanju, ki bo sledilo. V okviru drugega priporočila Komisija Slovenijo poziva, naj zagotovi ustrezno nadomestilo dohodka in socialno zaščito ter ublaži učinek krize na zaposlenost. Tretje priporočilo se glasi, da naj Slovenija nadaljuje s hitrim izvajanjem ukrepov za zagotavljanje likvidnosti in financiranja podjetjem in gospodinjstvom ter zmanjšanje upravnega bremena.</w:t>
      </w:r>
    </w:p>
    <w:p w14:paraId="04687CCB" w14:textId="77777777" w:rsidR="00CF652D" w:rsidRPr="00232839" w:rsidRDefault="00CF652D" w:rsidP="00CF652D">
      <w:pPr>
        <w:jc w:val="both"/>
        <w:rPr>
          <w:rFonts w:ascii="Arial" w:hAnsi="Arial"/>
          <w:sz w:val="20"/>
          <w:szCs w:val="20"/>
        </w:rPr>
      </w:pPr>
    </w:p>
    <w:p w14:paraId="378818DE" w14:textId="77777777" w:rsidR="00CF652D" w:rsidRPr="00232839" w:rsidRDefault="00CF652D" w:rsidP="00CF652D">
      <w:pPr>
        <w:jc w:val="both"/>
        <w:rPr>
          <w:rFonts w:ascii="Arial" w:hAnsi="Arial"/>
          <w:sz w:val="20"/>
          <w:szCs w:val="20"/>
        </w:rPr>
      </w:pPr>
      <w:r w:rsidRPr="00232839">
        <w:rPr>
          <w:rFonts w:ascii="Arial" w:hAnsi="Arial"/>
          <w:sz w:val="20"/>
          <w:szCs w:val="20"/>
        </w:rPr>
        <w:t>Več:</w:t>
      </w:r>
    </w:p>
    <w:p w14:paraId="7B2EBB0F" w14:textId="77777777" w:rsidR="00CF652D" w:rsidRPr="00232839" w:rsidRDefault="00CF652D" w:rsidP="00CF652D">
      <w:pPr>
        <w:jc w:val="both"/>
        <w:rPr>
          <w:rFonts w:ascii="Arial" w:hAnsi="Arial"/>
          <w:sz w:val="20"/>
          <w:szCs w:val="20"/>
        </w:rPr>
      </w:pPr>
      <w:hyperlink r:id="rId13" w:history="1">
        <w:r w:rsidRPr="00232839">
          <w:rPr>
            <w:rStyle w:val="Hyperlink"/>
            <w:rFonts w:ascii="Arial" w:hAnsi="Arial"/>
            <w:sz w:val="20"/>
            <w:szCs w:val="20"/>
          </w:rPr>
          <w:t>Priporočila Sloveniji</w:t>
        </w:r>
      </w:hyperlink>
    </w:p>
    <w:p w14:paraId="4ACB3A6A" w14:textId="77777777" w:rsidR="00CF652D" w:rsidRPr="00232839" w:rsidRDefault="00CF652D" w:rsidP="00CF652D">
      <w:pPr>
        <w:jc w:val="both"/>
        <w:rPr>
          <w:rFonts w:ascii="Arial" w:hAnsi="Arial"/>
          <w:sz w:val="20"/>
          <w:szCs w:val="20"/>
        </w:rPr>
      </w:pPr>
      <w:r w:rsidRPr="00232839">
        <w:rPr>
          <w:rFonts w:ascii="Arial" w:hAnsi="Arial"/>
          <w:sz w:val="20"/>
          <w:szCs w:val="20"/>
        </w:rPr>
        <w:t>in</w:t>
      </w:r>
    </w:p>
    <w:p w14:paraId="352B42A1" w14:textId="718CDA08" w:rsidR="00CF652D" w:rsidRDefault="00CF652D" w:rsidP="00CF652D">
      <w:pPr>
        <w:jc w:val="both"/>
        <w:rPr>
          <w:rFonts w:ascii="Arial" w:hAnsi="Arial"/>
          <w:sz w:val="20"/>
          <w:szCs w:val="20"/>
        </w:rPr>
      </w:pPr>
      <w:hyperlink r:id="rId14" w:history="1">
        <w:r w:rsidRPr="00232839">
          <w:rPr>
            <w:rStyle w:val="Hyperlink"/>
            <w:rFonts w:ascii="Arial" w:hAnsi="Arial"/>
            <w:sz w:val="20"/>
            <w:szCs w:val="20"/>
          </w:rPr>
          <w:t>Sporočilo Evropske komisije o priporočilih za države članice</w:t>
        </w:r>
      </w:hyperlink>
    </w:p>
    <w:p w14:paraId="298109AB" w14:textId="05226D31" w:rsidR="00C75DF6" w:rsidRDefault="00C75DF6"/>
    <w:p w14:paraId="14C3A926" w14:textId="77777777" w:rsidR="00CF652D" w:rsidRDefault="00CF652D"/>
    <w:p w14:paraId="5E0FD89F" w14:textId="77777777" w:rsidR="00CF652D" w:rsidRPr="00A55316" w:rsidRDefault="00CF652D" w:rsidP="00CF652D">
      <w:pPr>
        <w:jc w:val="both"/>
        <w:rPr>
          <w:rFonts w:ascii="Arial" w:hAnsi="Arial"/>
          <w:b/>
          <w:bCs/>
          <w:sz w:val="20"/>
          <w:szCs w:val="20"/>
        </w:rPr>
      </w:pPr>
      <w:r w:rsidRPr="00A55316">
        <w:rPr>
          <w:rFonts w:ascii="Arial" w:hAnsi="Arial"/>
          <w:b/>
          <w:bCs/>
          <w:sz w:val="20"/>
          <w:szCs w:val="20"/>
        </w:rPr>
        <w:t>Javno posvetovanje o pregledu uredbe EU o transevropski energetski infrastrukturi</w:t>
      </w:r>
    </w:p>
    <w:p w14:paraId="20F62514" w14:textId="77777777" w:rsidR="00CF652D" w:rsidRPr="00232839" w:rsidRDefault="00CF652D" w:rsidP="00CF652D">
      <w:pPr>
        <w:jc w:val="both"/>
        <w:rPr>
          <w:rFonts w:ascii="Arial" w:hAnsi="Arial"/>
          <w:sz w:val="20"/>
          <w:szCs w:val="20"/>
        </w:rPr>
      </w:pPr>
    </w:p>
    <w:p w14:paraId="1DF945E9" w14:textId="77777777" w:rsidR="00CF652D" w:rsidRPr="00232839" w:rsidRDefault="00CF652D" w:rsidP="00CF652D">
      <w:pPr>
        <w:jc w:val="both"/>
        <w:rPr>
          <w:rFonts w:ascii="Arial" w:hAnsi="Arial"/>
          <w:sz w:val="20"/>
          <w:szCs w:val="20"/>
        </w:rPr>
      </w:pPr>
      <w:r w:rsidRPr="00232839">
        <w:rPr>
          <w:rFonts w:ascii="Arial" w:hAnsi="Arial"/>
          <w:sz w:val="20"/>
          <w:szCs w:val="20"/>
        </w:rPr>
        <w:t>Do 13. julija Evropska komisija prek javnega posvetovanja zbira mnenja in predloge o spremembah in dopolnitvah uredbe EU o transevropski energetski infrastrukturi. V okviru javnega posvetovanja bo junija organizirala tudi štiri spletne seminarje.</w:t>
      </w:r>
    </w:p>
    <w:p w14:paraId="7EFBC6B8" w14:textId="77777777" w:rsidR="00CF652D" w:rsidRPr="00232839" w:rsidRDefault="00CF652D" w:rsidP="00CF652D">
      <w:pPr>
        <w:jc w:val="both"/>
        <w:rPr>
          <w:rFonts w:ascii="Arial" w:hAnsi="Arial"/>
          <w:sz w:val="20"/>
          <w:szCs w:val="20"/>
        </w:rPr>
      </w:pPr>
    </w:p>
    <w:p w14:paraId="1C038133" w14:textId="77777777" w:rsidR="00CF652D" w:rsidRPr="00232839" w:rsidRDefault="00CF652D" w:rsidP="00CF652D">
      <w:pPr>
        <w:jc w:val="both"/>
        <w:rPr>
          <w:rFonts w:ascii="Arial" w:hAnsi="Arial"/>
          <w:sz w:val="20"/>
          <w:szCs w:val="20"/>
        </w:rPr>
      </w:pPr>
      <w:r w:rsidRPr="00232839">
        <w:rPr>
          <w:rFonts w:ascii="Arial" w:hAnsi="Arial"/>
          <w:sz w:val="20"/>
          <w:szCs w:val="20"/>
        </w:rPr>
        <w:t>Več:</w:t>
      </w:r>
    </w:p>
    <w:p w14:paraId="4D803AD9" w14:textId="77777777" w:rsidR="00CF652D" w:rsidRPr="00232839" w:rsidRDefault="00CF652D" w:rsidP="00CF652D">
      <w:pPr>
        <w:jc w:val="both"/>
        <w:rPr>
          <w:rFonts w:ascii="Arial" w:hAnsi="Arial"/>
          <w:sz w:val="20"/>
          <w:szCs w:val="20"/>
        </w:rPr>
      </w:pPr>
      <w:hyperlink r:id="rId15" w:history="1">
        <w:r w:rsidRPr="00232839">
          <w:rPr>
            <w:rStyle w:val="Hyperlink"/>
            <w:rFonts w:ascii="Arial" w:hAnsi="Arial"/>
            <w:sz w:val="20"/>
            <w:szCs w:val="20"/>
          </w:rPr>
          <w:t>Spletna stran z informacijami o posvetovanju in s povezavo na javno posvetovanje</w:t>
        </w:r>
      </w:hyperlink>
    </w:p>
    <w:p w14:paraId="4B5E6EF3" w14:textId="77777777" w:rsidR="00CF652D" w:rsidRPr="00232839" w:rsidRDefault="00CF652D" w:rsidP="00CF652D">
      <w:pPr>
        <w:jc w:val="both"/>
        <w:rPr>
          <w:rFonts w:ascii="Arial" w:hAnsi="Arial"/>
          <w:sz w:val="20"/>
          <w:szCs w:val="20"/>
        </w:rPr>
      </w:pPr>
      <w:r w:rsidRPr="00232839">
        <w:rPr>
          <w:rFonts w:ascii="Arial" w:hAnsi="Arial"/>
          <w:sz w:val="20"/>
          <w:szCs w:val="20"/>
        </w:rPr>
        <w:t>in</w:t>
      </w:r>
    </w:p>
    <w:p w14:paraId="004E7CA1" w14:textId="402A7C70" w:rsidR="00CF652D" w:rsidRDefault="00CF652D" w:rsidP="00CF652D">
      <w:pPr>
        <w:rPr>
          <w:rStyle w:val="Hyperlink"/>
          <w:rFonts w:ascii="Arial" w:hAnsi="Arial"/>
          <w:sz w:val="20"/>
          <w:szCs w:val="20"/>
        </w:rPr>
      </w:pPr>
      <w:hyperlink r:id="rId16" w:history="1">
        <w:r w:rsidRPr="00232839">
          <w:rPr>
            <w:rStyle w:val="Hyperlink"/>
            <w:rFonts w:ascii="Arial" w:hAnsi="Arial"/>
            <w:sz w:val="20"/>
            <w:szCs w:val="20"/>
          </w:rPr>
          <w:t>Spletna stran z informacijami o spletnih seminarjih</w:t>
        </w:r>
      </w:hyperlink>
    </w:p>
    <w:p w14:paraId="38F49A4C" w14:textId="1AD03119" w:rsidR="00CF652D" w:rsidRDefault="00CF652D" w:rsidP="00CF652D">
      <w:pPr>
        <w:rPr>
          <w:rStyle w:val="Hyperlink"/>
          <w:rFonts w:ascii="Arial" w:hAnsi="Arial"/>
          <w:sz w:val="20"/>
          <w:szCs w:val="20"/>
        </w:rPr>
      </w:pPr>
    </w:p>
    <w:p w14:paraId="3FF85D9B" w14:textId="1B2084F4" w:rsidR="00CF652D" w:rsidRDefault="00CF652D" w:rsidP="00CF652D"/>
    <w:p w14:paraId="19A83EEE" w14:textId="77777777" w:rsidR="00CF652D" w:rsidRPr="00A55316" w:rsidRDefault="00CF652D" w:rsidP="00CF652D">
      <w:pPr>
        <w:jc w:val="both"/>
        <w:rPr>
          <w:rFonts w:ascii="Arial" w:hAnsi="Arial"/>
          <w:b/>
          <w:bCs/>
          <w:sz w:val="20"/>
          <w:szCs w:val="20"/>
        </w:rPr>
      </w:pPr>
      <w:r w:rsidRPr="00A55316">
        <w:rPr>
          <w:rFonts w:ascii="Arial" w:hAnsi="Arial"/>
          <w:b/>
          <w:bCs/>
          <w:sz w:val="20"/>
          <w:szCs w:val="20"/>
        </w:rPr>
        <w:t>Pravila za začasno podaljšanje dovoljenj na področju prometa in uporabe pristanišč</w:t>
      </w:r>
    </w:p>
    <w:p w14:paraId="6682F338" w14:textId="77777777" w:rsidR="00CF652D" w:rsidRPr="00232839" w:rsidRDefault="00CF652D" w:rsidP="00CF652D">
      <w:pPr>
        <w:jc w:val="both"/>
        <w:rPr>
          <w:rFonts w:ascii="Arial" w:hAnsi="Arial"/>
          <w:sz w:val="20"/>
          <w:szCs w:val="20"/>
        </w:rPr>
      </w:pPr>
    </w:p>
    <w:p w14:paraId="48B9A57A" w14:textId="77777777" w:rsidR="00CF652D" w:rsidRPr="00232839" w:rsidRDefault="00CF652D" w:rsidP="00CF652D">
      <w:pPr>
        <w:jc w:val="both"/>
        <w:rPr>
          <w:rFonts w:ascii="Arial" w:hAnsi="Arial"/>
          <w:sz w:val="20"/>
          <w:szCs w:val="20"/>
        </w:rPr>
      </w:pPr>
      <w:r w:rsidRPr="00232839">
        <w:rPr>
          <w:rFonts w:ascii="Arial" w:hAnsi="Arial"/>
          <w:sz w:val="20"/>
          <w:szCs w:val="20"/>
        </w:rPr>
        <w:t xml:space="preserve">Države članice so v okviru Sveta EU sprejele uredbo, ki zaradi epidemije koronavirusa omogoča začasno podaljšanje dovoljenj v cestnem, železniškem in vodnem prometu, prav tako so omilila pravila za ladjarje za uporabo pristaniške infrastrukture. </w:t>
      </w:r>
    </w:p>
    <w:p w14:paraId="150E1602" w14:textId="77777777" w:rsidR="00CF652D" w:rsidRPr="00232839" w:rsidRDefault="00CF652D" w:rsidP="00CF652D">
      <w:pPr>
        <w:jc w:val="both"/>
        <w:rPr>
          <w:rFonts w:ascii="Arial" w:hAnsi="Arial"/>
          <w:sz w:val="20"/>
          <w:szCs w:val="20"/>
        </w:rPr>
      </w:pPr>
    </w:p>
    <w:p w14:paraId="586F18A7" w14:textId="77777777" w:rsidR="00CF652D" w:rsidRPr="00232839" w:rsidRDefault="00CF652D" w:rsidP="00CF652D">
      <w:pPr>
        <w:jc w:val="both"/>
        <w:rPr>
          <w:rFonts w:ascii="Arial" w:hAnsi="Arial"/>
          <w:sz w:val="20"/>
          <w:szCs w:val="20"/>
        </w:rPr>
      </w:pPr>
      <w:r w:rsidRPr="00232839">
        <w:rPr>
          <w:rFonts w:ascii="Arial" w:hAnsi="Arial"/>
          <w:sz w:val="20"/>
          <w:szCs w:val="20"/>
        </w:rPr>
        <w:t>Več:</w:t>
      </w:r>
    </w:p>
    <w:p w14:paraId="391194E9" w14:textId="77777777" w:rsidR="00CF652D" w:rsidRPr="00232839" w:rsidRDefault="00CF652D" w:rsidP="00CF652D">
      <w:pPr>
        <w:jc w:val="both"/>
        <w:rPr>
          <w:rFonts w:ascii="Arial" w:hAnsi="Arial"/>
          <w:sz w:val="20"/>
          <w:szCs w:val="20"/>
        </w:rPr>
      </w:pPr>
      <w:hyperlink r:id="rId17" w:history="1">
        <w:r w:rsidRPr="00232839">
          <w:rPr>
            <w:rStyle w:val="Hyperlink"/>
            <w:rFonts w:ascii="Arial" w:hAnsi="Arial"/>
            <w:sz w:val="20"/>
            <w:szCs w:val="20"/>
          </w:rPr>
          <w:t>Uredba o dovoljenjih</w:t>
        </w:r>
      </w:hyperlink>
    </w:p>
    <w:p w14:paraId="728A8B1A" w14:textId="77777777" w:rsidR="00CF652D" w:rsidRPr="00232839" w:rsidRDefault="00CF652D" w:rsidP="00CF652D">
      <w:pPr>
        <w:jc w:val="both"/>
        <w:rPr>
          <w:rFonts w:ascii="Arial" w:hAnsi="Arial"/>
          <w:sz w:val="20"/>
          <w:szCs w:val="20"/>
        </w:rPr>
      </w:pPr>
      <w:r w:rsidRPr="00232839">
        <w:rPr>
          <w:rFonts w:ascii="Arial" w:hAnsi="Arial"/>
          <w:sz w:val="20"/>
          <w:szCs w:val="20"/>
        </w:rPr>
        <w:t>in</w:t>
      </w:r>
    </w:p>
    <w:p w14:paraId="48076A31" w14:textId="77777777" w:rsidR="00CF652D" w:rsidRPr="00232839" w:rsidRDefault="00CF652D" w:rsidP="00CF652D">
      <w:pPr>
        <w:jc w:val="both"/>
        <w:rPr>
          <w:rFonts w:ascii="Arial" w:hAnsi="Arial"/>
          <w:sz w:val="20"/>
          <w:szCs w:val="20"/>
        </w:rPr>
      </w:pPr>
      <w:hyperlink r:id="rId18" w:history="1">
        <w:r w:rsidRPr="00232839">
          <w:rPr>
            <w:rStyle w:val="Hyperlink"/>
            <w:rFonts w:ascii="Arial" w:hAnsi="Arial"/>
            <w:sz w:val="20"/>
            <w:szCs w:val="20"/>
          </w:rPr>
          <w:t>Uredba o rabi pristaniške infrastrukture</w:t>
        </w:r>
      </w:hyperlink>
    </w:p>
    <w:p w14:paraId="4999503E" w14:textId="2137657D" w:rsidR="00CF652D" w:rsidRDefault="00CF652D" w:rsidP="00CF652D"/>
    <w:p w14:paraId="653D3AC9" w14:textId="79050AB5" w:rsidR="00CF652D" w:rsidRDefault="00CF652D" w:rsidP="00CF652D"/>
    <w:p w14:paraId="1D65ABD4" w14:textId="77777777" w:rsidR="00CF652D" w:rsidRPr="00A55316" w:rsidRDefault="00CF652D" w:rsidP="00CF652D">
      <w:pPr>
        <w:jc w:val="both"/>
        <w:rPr>
          <w:rFonts w:ascii="Arial" w:hAnsi="Arial"/>
          <w:b/>
          <w:bCs/>
          <w:sz w:val="20"/>
          <w:szCs w:val="20"/>
        </w:rPr>
      </w:pPr>
      <w:r w:rsidRPr="00A55316">
        <w:rPr>
          <w:rFonts w:ascii="Arial" w:hAnsi="Arial"/>
          <w:b/>
          <w:bCs/>
          <w:sz w:val="20"/>
          <w:szCs w:val="20"/>
        </w:rPr>
        <w:t>Sprejet je instrument za začasno podporo zmanjševanju tveganj za brezposelnost (SURE)</w:t>
      </w:r>
    </w:p>
    <w:p w14:paraId="607DB17D" w14:textId="77777777" w:rsidR="00CF652D" w:rsidRPr="00232839" w:rsidRDefault="00CF652D" w:rsidP="00CF652D">
      <w:pPr>
        <w:jc w:val="both"/>
        <w:rPr>
          <w:rFonts w:ascii="Arial" w:hAnsi="Arial"/>
          <w:sz w:val="20"/>
          <w:szCs w:val="20"/>
        </w:rPr>
      </w:pPr>
    </w:p>
    <w:p w14:paraId="510F0192" w14:textId="77777777" w:rsidR="00CF652D" w:rsidRPr="00232839" w:rsidRDefault="00CF652D" w:rsidP="00CF652D">
      <w:pPr>
        <w:jc w:val="both"/>
        <w:rPr>
          <w:rFonts w:ascii="Arial" w:hAnsi="Arial"/>
          <w:sz w:val="20"/>
          <w:szCs w:val="20"/>
        </w:rPr>
      </w:pPr>
      <w:r w:rsidRPr="00232839">
        <w:rPr>
          <w:rFonts w:ascii="Arial" w:hAnsi="Arial"/>
          <w:sz w:val="20"/>
          <w:szCs w:val="20"/>
        </w:rPr>
        <w:t>Države članice EU so v okviru Sveta EU sprejele instrument za začasno podporo zmanjševanju tveganj za brezposelnost v izrednih razmerah (SURE). Prek tega instrumenta lahko države članice zaprosijo za finančno podporo EU, s katero bodo lahko financirale nenadno in močno povečanje nacionalnih javnih izdatkov od 1. februarja 2020 dalje, povezano z nacionalnimi ureditvami krajšega delovnega časa in podobnimi ukrepi, tudi za samozaposlene, ali z nekaterimi ukrepi v zvezi z zdravjem, zlasti na delovnem mestu, kot odziv na krizo. Za to podporo je na voljo 100 milijard evrov.</w:t>
      </w:r>
    </w:p>
    <w:p w14:paraId="47BC0CDD" w14:textId="77777777" w:rsidR="00CF652D" w:rsidRPr="00232839" w:rsidRDefault="00CF652D" w:rsidP="00CF652D">
      <w:pPr>
        <w:jc w:val="both"/>
        <w:rPr>
          <w:rFonts w:ascii="Arial" w:hAnsi="Arial"/>
          <w:sz w:val="20"/>
          <w:szCs w:val="20"/>
        </w:rPr>
      </w:pPr>
    </w:p>
    <w:p w14:paraId="1446576D" w14:textId="77777777" w:rsidR="00CF652D" w:rsidRPr="00232839" w:rsidRDefault="00CF652D" w:rsidP="00CF652D">
      <w:pPr>
        <w:jc w:val="both"/>
        <w:rPr>
          <w:rFonts w:ascii="Arial" w:hAnsi="Arial"/>
          <w:sz w:val="20"/>
          <w:szCs w:val="20"/>
        </w:rPr>
      </w:pPr>
      <w:r w:rsidRPr="00232839">
        <w:rPr>
          <w:rFonts w:ascii="Arial" w:hAnsi="Arial"/>
          <w:sz w:val="20"/>
          <w:szCs w:val="20"/>
        </w:rPr>
        <w:t>Več:</w:t>
      </w:r>
    </w:p>
    <w:p w14:paraId="69949B9B" w14:textId="77777777" w:rsidR="00CF652D" w:rsidRPr="00232839" w:rsidRDefault="00CF652D" w:rsidP="00CF652D">
      <w:pPr>
        <w:jc w:val="both"/>
        <w:rPr>
          <w:rFonts w:ascii="Arial" w:hAnsi="Arial"/>
          <w:sz w:val="20"/>
          <w:szCs w:val="20"/>
        </w:rPr>
      </w:pPr>
      <w:hyperlink r:id="rId19" w:history="1">
        <w:r w:rsidRPr="00232839">
          <w:rPr>
            <w:rStyle w:val="Hyperlink"/>
            <w:rFonts w:ascii="Arial" w:hAnsi="Arial"/>
            <w:sz w:val="20"/>
            <w:szCs w:val="20"/>
          </w:rPr>
          <w:t>Sporočilo Sveta EU</w:t>
        </w:r>
      </w:hyperlink>
    </w:p>
    <w:p w14:paraId="5178ABDA" w14:textId="77777777" w:rsidR="00CF652D" w:rsidRDefault="00CF652D" w:rsidP="00CF652D"/>
    <w:p w14:paraId="1E8F36BD" w14:textId="77777777" w:rsidR="003B4E5C" w:rsidRDefault="003B4E5C">
      <w:pPr>
        <w:sectPr w:rsidR="003B4E5C" w:rsidSect="003B4E5C">
          <w:pgSz w:w="11906" w:h="16838"/>
          <w:pgMar w:top="1440" w:right="1440" w:bottom="1440" w:left="1440" w:header="708" w:footer="708" w:gutter="0"/>
          <w:cols w:num="2" w:space="708"/>
          <w:docGrid w:linePitch="360"/>
        </w:sectPr>
      </w:pPr>
    </w:p>
    <w:p w14:paraId="48A3181C" w14:textId="0C1F0F00" w:rsidR="00F93A42" w:rsidRDefault="00F93A42"/>
    <w:p w14:paraId="287718B6" w14:textId="3356B8AC" w:rsidR="00F93A42" w:rsidRDefault="00F93A42" w:rsidP="00F93A42"/>
    <w:p w14:paraId="20F76BF6" w14:textId="4EF58F2A" w:rsidR="00F93A42" w:rsidRDefault="00F93A42" w:rsidP="00F93A42"/>
    <w:p w14:paraId="3D820D15" w14:textId="77777777" w:rsidR="00F93A42" w:rsidRDefault="00F93A42" w:rsidP="00F93A42"/>
    <w:sectPr w:rsidR="00F93A42" w:rsidSect="003B4E5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17220"/>
    <w:multiLevelType w:val="hybridMultilevel"/>
    <w:tmpl w:val="0E7AB0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E017955"/>
    <w:multiLevelType w:val="hybridMultilevel"/>
    <w:tmpl w:val="0D48D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9F"/>
    <w:rsid w:val="003B4E5C"/>
    <w:rsid w:val="00454649"/>
    <w:rsid w:val="0053487F"/>
    <w:rsid w:val="00775FAB"/>
    <w:rsid w:val="00A55316"/>
    <w:rsid w:val="00C75DF6"/>
    <w:rsid w:val="00CF652D"/>
    <w:rsid w:val="00D347F8"/>
    <w:rsid w:val="00E52B9F"/>
    <w:rsid w:val="00F93A42"/>
    <w:rsid w:val="00FB520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A4CB"/>
  <w15:chartTrackingRefBased/>
  <w15:docId w15:val="{CDD08EE8-43E7-40D0-96CF-6E031126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201"/>
    <w:pPr>
      <w:spacing w:after="0" w:line="240" w:lineRule="auto"/>
    </w:pPr>
    <w:rPr>
      <w:rFonts w:ascii="Times New Roman" w:eastAsia="NSimSun" w:hAnsi="Times New Roman" w:cs="Arial"/>
      <w:kern w:val="2"/>
      <w:sz w:val="24"/>
      <w:szCs w:val="24"/>
      <w:lang w:val="sl-SI"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201"/>
    <w:rPr>
      <w:color w:val="0563C1" w:themeColor="hyperlink"/>
      <w:u w:val="single"/>
    </w:rPr>
  </w:style>
  <w:style w:type="character" w:styleId="UnresolvedMention">
    <w:name w:val="Unresolved Mention"/>
    <w:basedOn w:val="DefaultParagraphFont"/>
    <w:uiPriority w:val="99"/>
    <w:semiHidden/>
    <w:unhideWhenUsed/>
    <w:rsid w:val="00F93A42"/>
    <w:rPr>
      <w:color w:val="605E5C"/>
      <w:shd w:val="clear" w:color="auto" w:fill="E1DFDD"/>
    </w:rPr>
  </w:style>
  <w:style w:type="paragraph" w:styleId="ListParagraph">
    <w:name w:val="List Paragraph"/>
    <w:basedOn w:val="Normal"/>
    <w:uiPriority w:val="34"/>
    <w:qFormat/>
    <w:rsid w:val="00F93A42"/>
    <w:pPr>
      <w:spacing w:after="200" w:line="276"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341872">
      <w:bodyDiv w:val="1"/>
      <w:marLeft w:val="0"/>
      <w:marRight w:val="0"/>
      <w:marTop w:val="0"/>
      <w:marBottom w:val="0"/>
      <w:divBdr>
        <w:top w:val="none" w:sz="0" w:space="0" w:color="auto"/>
        <w:left w:val="none" w:sz="0" w:space="0" w:color="auto"/>
        <w:bottom w:val="none" w:sz="0" w:space="0" w:color="auto"/>
        <w:right w:val="none" w:sz="0" w:space="0" w:color="auto"/>
      </w:divBdr>
    </w:div>
    <w:div w:id="1638562332">
      <w:bodyDiv w:val="1"/>
      <w:marLeft w:val="0"/>
      <w:marRight w:val="0"/>
      <w:marTop w:val="0"/>
      <w:marBottom w:val="0"/>
      <w:divBdr>
        <w:top w:val="none" w:sz="0" w:space="0" w:color="auto"/>
        <w:left w:val="none" w:sz="0" w:space="0" w:color="auto"/>
        <w:bottom w:val="none" w:sz="0" w:space="0" w:color="auto"/>
        <w:right w:val="none" w:sz="0" w:space="0" w:color="auto"/>
      </w:divBdr>
    </w:div>
    <w:div w:id="1737360681">
      <w:bodyDiv w:val="1"/>
      <w:marLeft w:val="0"/>
      <w:marRight w:val="0"/>
      <w:marTop w:val="0"/>
      <w:marBottom w:val="0"/>
      <w:divBdr>
        <w:top w:val="none" w:sz="0" w:space="0" w:color="auto"/>
        <w:left w:val="none" w:sz="0" w:space="0" w:color="auto"/>
        <w:bottom w:val="none" w:sz="0" w:space="0" w:color="auto"/>
        <w:right w:val="none" w:sz="0" w:space="0" w:color="auto"/>
      </w:divBdr>
    </w:div>
    <w:div w:id="1796410257">
      <w:bodyDiv w:val="1"/>
      <w:marLeft w:val="0"/>
      <w:marRight w:val="0"/>
      <w:marTop w:val="0"/>
      <w:marBottom w:val="0"/>
      <w:divBdr>
        <w:top w:val="none" w:sz="0" w:space="0" w:color="auto"/>
        <w:left w:val="none" w:sz="0" w:space="0" w:color="auto"/>
        <w:bottom w:val="none" w:sz="0" w:space="0" w:color="auto"/>
        <w:right w:val="none" w:sz="0" w:space="0" w:color="auto"/>
      </w:divBdr>
    </w:div>
    <w:div w:id="1851523452">
      <w:bodyDiv w:val="1"/>
      <w:marLeft w:val="0"/>
      <w:marRight w:val="0"/>
      <w:marTop w:val="0"/>
      <w:marBottom w:val="0"/>
      <w:divBdr>
        <w:top w:val="none" w:sz="0" w:space="0" w:color="auto"/>
        <w:left w:val="none" w:sz="0" w:space="0" w:color="auto"/>
        <w:bottom w:val="none" w:sz="0" w:space="0" w:color="auto"/>
        <w:right w:val="none" w:sz="0" w:space="0" w:color="auto"/>
      </w:divBdr>
    </w:div>
    <w:div w:id="19078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news/high-demand-eic-green-deal-call-2020-may-25_en" TargetMode="External"/><Relationship Id="rId13" Type="http://schemas.openxmlformats.org/officeDocument/2006/relationships/hyperlink" Target="https://ec.europa.eu/info/sites/info/files/2020-european-semester-csr-comm-recommendation-slovenia_en.pdf" TargetMode="External"/><Relationship Id="rId18" Type="http://schemas.openxmlformats.org/officeDocument/2006/relationships/hyperlink" Target="https://data.consilium.europa.eu/doc/document/PE-15-2020-INIT/en/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c.europa.eu/info/research-and-innovation/research-area/health-research-and-innovation/coronavirus-research-and-innovation_sl" TargetMode="External"/><Relationship Id="rId12" Type="http://schemas.openxmlformats.org/officeDocument/2006/relationships/hyperlink" Target="https://europa.eu/citizens-initiative/initiatives/details/2020/000004_en" TargetMode="External"/><Relationship Id="rId17" Type="http://schemas.openxmlformats.org/officeDocument/2006/relationships/hyperlink" Target="https://data.consilium.europa.eu/doc/document/PE-16-2020-INIT/en/pdf" TargetMode="External"/><Relationship Id="rId2" Type="http://schemas.openxmlformats.org/officeDocument/2006/relationships/styles" Target="styles.xml"/><Relationship Id="rId16" Type="http://schemas.openxmlformats.org/officeDocument/2006/relationships/hyperlink" Target="https://ec.europa.eu/info/events/webinars-revision-ten-e-guidelines-2020-jun-02_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c.europa.eu/info/funding-tenders/opportunities/portal/screen/opportunities/topic-search;freeTextSearchKeyword=Coronavirus;typeCodes=0,1;statusCodes=31094502;programCode=null;programDivisionCode=null;focusAreaCode=null;crossCuttingPriorityCode=null;callCode=Default;sortQuery=submissionStatus;orderBy=asc;onlyTenders=false;topicListKey=callTopicSearchTableState" TargetMode="External"/><Relationship Id="rId11" Type="http://schemas.openxmlformats.org/officeDocument/2006/relationships/hyperlink" Target="https://www.ubie.org/support-eci/" TargetMode="External"/><Relationship Id="rId5" Type="http://schemas.openxmlformats.org/officeDocument/2006/relationships/hyperlink" Target="https://dealflow.eu/" TargetMode="External"/><Relationship Id="rId15" Type="http://schemas.openxmlformats.org/officeDocument/2006/relationships/hyperlink" Target="https://ec.europa.eu/info/news/reviewing-eu-rules-trans-european-energy-infrastructure-2020-may-18_en" TargetMode="External"/><Relationship Id="rId10" Type="http://schemas.openxmlformats.org/officeDocument/2006/relationships/hyperlink" Target="https://ec.europa.eu/info/consultations/finance-2020-sustainable-finance-strategy_en" TargetMode="External"/><Relationship Id="rId19" Type="http://schemas.openxmlformats.org/officeDocument/2006/relationships/hyperlink" Target="https://www.consilium.europa.eu/sl/press/press-releases/2020/05/19/covid-19-council-reaches-political-agreement-on-temporary-support-to-mitigate-unemployment-risks-in-an-emergency-sure/" TargetMode="External"/><Relationship Id="rId4" Type="http://schemas.openxmlformats.org/officeDocument/2006/relationships/webSettings" Target="webSettings.xml"/><Relationship Id="rId9" Type="http://schemas.openxmlformats.org/officeDocument/2006/relationships/hyperlink" Target="https://ec.europa.eu/transport/sites/transport/files/its-national-access-points.pdf" TargetMode="External"/><Relationship Id="rId14" Type="http://schemas.openxmlformats.org/officeDocument/2006/relationships/hyperlink" Target="https://ec.europa.eu/info/publications/2020-european-semester-commission-communication-country-specific-recommenda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bostjansinkovec@yahoo.com</dc:creator>
  <cp:keywords/>
  <dc:description/>
  <cp:lastModifiedBy>bostjansinkovec@yahoo.com</cp:lastModifiedBy>
  <cp:revision>8</cp:revision>
  <dcterms:created xsi:type="dcterms:W3CDTF">2020-05-29T08:11:00Z</dcterms:created>
  <dcterms:modified xsi:type="dcterms:W3CDTF">2020-05-29T08:32:00Z</dcterms:modified>
</cp:coreProperties>
</file>