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C0E" w:rsidRDefault="005F3C0E" w:rsidP="005F3C0E">
      <w:pPr>
        <w:spacing w:after="0" w:line="338" w:lineRule="atLeast"/>
        <w:ind w:right="17"/>
        <w:outlineLvl w:val="2"/>
        <w:rPr>
          <w:lang w:val="sl-SI"/>
        </w:rPr>
      </w:pPr>
      <w:r>
        <w:rPr>
          <w:lang w:val="sl-SI"/>
        </w:rPr>
        <w:t>Objave za izvozno okno 1-8</w:t>
      </w:r>
    </w:p>
    <w:p w:rsidR="005F3C0E" w:rsidRPr="005F3C0E" w:rsidRDefault="005F3C0E" w:rsidP="005F3C0E">
      <w:pPr>
        <w:spacing w:after="0" w:line="338" w:lineRule="atLeast"/>
        <w:ind w:right="17"/>
        <w:outlineLvl w:val="2"/>
        <w:rPr>
          <w:lang w:val="sl-SI"/>
        </w:rPr>
      </w:pPr>
      <w:r>
        <w:rPr>
          <w:lang w:val="sl-SI"/>
        </w:rPr>
        <w:t>Datum: 20.4.2020</w:t>
      </w:r>
      <w:bookmarkStart w:id="0" w:name="_GoBack"/>
      <w:bookmarkEnd w:id="0"/>
    </w:p>
    <w:p w:rsidR="005F3C0E" w:rsidRPr="005F3C0E" w:rsidRDefault="005F3C0E" w:rsidP="005F3C0E">
      <w:pPr>
        <w:pStyle w:val="ListParagraph"/>
        <w:spacing w:after="0" w:line="338" w:lineRule="atLeast"/>
        <w:ind w:right="17"/>
        <w:outlineLvl w:val="2"/>
        <w:rPr>
          <w:rFonts w:eastAsia="Times New Roman" w:cs="Helvetica"/>
          <w:b/>
          <w:bCs/>
          <w:color w:val="606060"/>
          <w:spacing w:val="-8"/>
          <w:lang/>
        </w:rPr>
      </w:pPr>
    </w:p>
    <w:p w:rsidR="00EE3EBD" w:rsidRPr="00EE3EBD" w:rsidRDefault="00EE3EBD" w:rsidP="00EE3EBD">
      <w:pPr>
        <w:pStyle w:val="ListParagraph"/>
        <w:numPr>
          <w:ilvl w:val="0"/>
          <w:numId w:val="2"/>
        </w:numPr>
        <w:spacing w:after="0" w:line="338" w:lineRule="atLeast"/>
        <w:ind w:right="17"/>
        <w:outlineLvl w:val="2"/>
        <w:rPr>
          <w:rFonts w:eastAsia="Times New Roman" w:cs="Helvetica"/>
          <w:b/>
          <w:bCs/>
          <w:color w:val="606060"/>
          <w:spacing w:val="-8"/>
          <w:lang/>
        </w:rPr>
      </w:pPr>
      <w:r w:rsidRPr="00EE3EBD">
        <w:rPr>
          <w:rFonts w:eastAsia="Times New Roman" w:cs="Helvetica"/>
          <w:b/>
          <w:bCs/>
          <w:color w:val="000080"/>
          <w:spacing w:val="-8"/>
          <w:lang/>
        </w:rPr>
        <w:t>Sprostitev postopkov za pomoč s sredstvi strukturnih skladov prinaša tveganja</w:t>
      </w:r>
    </w:p>
    <w:p w:rsidR="00EE3EBD" w:rsidRPr="00EE3EBD" w:rsidRDefault="00EE3EBD" w:rsidP="00EE3EBD">
      <w:pPr>
        <w:spacing w:after="0" w:line="338" w:lineRule="atLeast"/>
        <w:rPr>
          <w:rFonts w:eastAsia="Times New Roman" w:cs="Arial"/>
          <w:color w:val="DAA520"/>
          <w:u w:val="single"/>
          <w:lang/>
        </w:rPr>
      </w:pPr>
      <w:r w:rsidRPr="00EE3EBD">
        <w:rPr>
          <w:rFonts w:eastAsia="Times New Roman" w:cs="Arial"/>
          <w:b/>
          <w:bCs/>
          <w:color w:val="606060"/>
          <w:lang/>
        </w:rPr>
        <w:br/>
        <w:t>Revizorji Evropskega računskega sodišča v novem mnenju navajajo, da začasna sprostitev pravil za porabo sredstev iz evropskih strukturnih in investicijskih skladov (ESI), ki jo za blažitev učinkov izbruha COVID-19 predlaga Evropska komisija, prinaša tveganja.</w:t>
      </w:r>
      <w:r w:rsidRPr="00EE3EBD">
        <w:rPr>
          <w:rFonts w:eastAsia="Times New Roman" w:cs="Helvetica"/>
          <w:color w:val="606060"/>
          <w:lang/>
        </w:rPr>
        <w:br/>
      </w:r>
      <w:r w:rsidRPr="00EE3EBD">
        <w:rPr>
          <w:rFonts w:eastAsia="Times New Roman" w:cs="Helvetica"/>
          <w:color w:val="606060"/>
          <w:lang/>
        </w:rPr>
        <w:br/>
      </w:r>
      <w:r w:rsidRPr="00EE3EBD">
        <w:rPr>
          <w:rFonts w:eastAsia="Times New Roman" w:cs="Arial"/>
          <w:b/>
          <w:bCs/>
          <w:color w:val="606060"/>
          <w:lang/>
        </w:rPr>
        <w:t>Več:</w:t>
      </w:r>
      <w:r w:rsidRPr="00EE3EBD">
        <w:rPr>
          <w:rFonts w:eastAsia="Times New Roman" w:cs="Arial"/>
          <w:b/>
          <w:bCs/>
          <w:color w:val="606060"/>
          <w:lang/>
        </w:rPr>
        <w:br/>
      </w:r>
      <w:hyperlink r:id="rId5" w:history="1">
        <w:r w:rsidRPr="00EE3EBD">
          <w:rPr>
            <w:rFonts w:eastAsia="Times New Roman" w:cs="Arial"/>
            <w:color w:val="DAA520"/>
            <w:u w:val="single"/>
            <w:lang/>
          </w:rPr>
          <w:t>Mnenje</w:t>
        </w:r>
      </w:hyperlink>
    </w:p>
    <w:p w:rsidR="00EE3EBD" w:rsidRPr="00EE3EBD" w:rsidRDefault="00EE3EBD" w:rsidP="00EE3EBD">
      <w:pPr>
        <w:spacing w:after="0" w:line="338" w:lineRule="atLeast"/>
        <w:rPr>
          <w:rFonts w:eastAsia="Times New Roman" w:cs="Arial"/>
          <w:color w:val="DAA520"/>
          <w:u w:val="single"/>
          <w:lang/>
        </w:rPr>
      </w:pPr>
    </w:p>
    <w:p w:rsidR="00EE3EBD" w:rsidRPr="00EE3EBD" w:rsidRDefault="00EE3EBD" w:rsidP="00EE3EBD">
      <w:pPr>
        <w:pStyle w:val="ListParagraph"/>
        <w:numPr>
          <w:ilvl w:val="0"/>
          <w:numId w:val="2"/>
        </w:numPr>
        <w:spacing w:after="0" w:line="338" w:lineRule="atLeast"/>
        <w:outlineLvl w:val="2"/>
        <w:rPr>
          <w:rFonts w:eastAsia="Times New Roman" w:cs="Helvetica"/>
          <w:b/>
          <w:bCs/>
          <w:color w:val="606060"/>
          <w:spacing w:val="-8"/>
          <w:lang/>
        </w:rPr>
      </w:pPr>
      <w:r w:rsidRPr="00EE3EBD">
        <w:rPr>
          <w:rFonts w:eastAsia="Times New Roman" w:cs="Helvetica"/>
          <w:b/>
          <w:bCs/>
          <w:color w:val="000080"/>
          <w:spacing w:val="-8"/>
          <w:lang/>
        </w:rPr>
        <w:t>Program ESCALAR za rast in širitev zelo obetavnih podjetij v Evropi</w:t>
      </w:r>
    </w:p>
    <w:p w:rsidR="00EE3EBD" w:rsidRPr="00EE3EBD" w:rsidRDefault="00EE3EBD" w:rsidP="00EE3EBD">
      <w:pPr>
        <w:spacing w:after="0" w:line="338" w:lineRule="atLeast"/>
        <w:rPr>
          <w:rFonts w:eastAsia="Times New Roman" w:cs="Arial"/>
          <w:color w:val="DAA520"/>
          <w:u w:val="single"/>
          <w:lang/>
        </w:rPr>
      </w:pPr>
      <w:r w:rsidRPr="00EE3EBD">
        <w:rPr>
          <w:rFonts w:eastAsia="Times New Roman" w:cs="Arial"/>
          <w:b/>
          <w:bCs/>
          <w:color w:val="606060"/>
          <w:lang/>
        </w:rPr>
        <w:br/>
        <w:t>Evropska komisija je v skladu s strategijo za mala in srednja podjetja vzpostavila program ESCALAR za spodbujanje širitve in rasti zelo obetavnih podjetij v Evropi. </w:t>
      </w:r>
      <w:r w:rsidRPr="00EE3EBD">
        <w:rPr>
          <w:rFonts w:eastAsia="Times New Roman" w:cs="Arial"/>
          <w:b/>
          <w:bCs/>
          <w:color w:val="606060"/>
          <w:lang/>
        </w:rPr>
        <w:br/>
        <w:t> </w:t>
      </w:r>
      <w:r w:rsidRPr="00EE3EBD">
        <w:rPr>
          <w:rFonts w:eastAsia="Times New Roman" w:cs="Arial"/>
          <w:b/>
          <w:bCs/>
          <w:color w:val="606060"/>
          <w:lang/>
        </w:rPr>
        <w:br/>
        <w:t>Več:</w:t>
      </w:r>
      <w:r w:rsidRPr="00EE3EBD">
        <w:rPr>
          <w:rFonts w:eastAsia="Times New Roman" w:cs="Arial"/>
          <w:b/>
          <w:bCs/>
          <w:color w:val="606060"/>
          <w:lang/>
        </w:rPr>
        <w:br/>
      </w:r>
      <w:hyperlink r:id="rId6" w:history="1">
        <w:r w:rsidRPr="00EE3EBD">
          <w:rPr>
            <w:rFonts w:eastAsia="Times New Roman" w:cs="Arial"/>
            <w:color w:val="DAA520"/>
            <w:u w:val="single"/>
            <w:lang/>
          </w:rPr>
          <w:t>Spletna stran z informacijami o programu ESCALAR</w:t>
        </w:r>
      </w:hyperlink>
    </w:p>
    <w:p w:rsidR="00EE3EBD" w:rsidRPr="00EE3EBD" w:rsidRDefault="00EE3EBD" w:rsidP="00EE3EBD">
      <w:pPr>
        <w:spacing w:after="0" w:line="338" w:lineRule="atLeast"/>
        <w:rPr>
          <w:rFonts w:eastAsia="Times New Roman" w:cs="Arial"/>
          <w:color w:val="DAA520"/>
          <w:u w:val="single"/>
          <w:lang/>
        </w:rPr>
      </w:pPr>
    </w:p>
    <w:p w:rsidR="00EE3EBD" w:rsidRPr="00EE3EBD" w:rsidRDefault="00EE3EBD" w:rsidP="00EE3EBD">
      <w:pPr>
        <w:pStyle w:val="ListParagraph"/>
        <w:numPr>
          <w:ilvl w:val="0"/>
          <w:numId w:val="2"/>
        </w:numPr>
        <w:spacing w:after="0" w:line="338" w:lineRule="atLeast"/>
        <w:outlineLvl w:val="2"/>
        <w:rPr>
          <w:rFonts w:eastAsia="Times New Roman" w:cs="Helvetica"/>
          <w:b/>
          <w:bCs/>
          <w:color w:val="606060"/>
          <w:spacing w:val="-8"/>
          <w:lang/>
        </w:rPr>
      </w:pPr>
      <w:r w:rsidRPr="00EE3EBD">
        <w:rPr>
          <w:rFonts w:eastAsia="Times New Roman" w:cs="Helvetica"/>
          <w:b/>
          <w:bCs/>
          <w:color w:val="000080"/>
          <w:spacing w:val="-8"/>
          <w:lang/>
        </w:rPr>
        <w:t>Države članice so sprejele reformo predpisov za voznike tovornjakov</w:t>
      </w:r>
    </w:p>
    <w:p w:rsidR="00EE3EBD" w:rsidRPr="00EE3EBD" w:rsidRDefault="00EE3EBD" w:rsidP="00EE3EBD">
      <w:pPr>
        <w:spacing w:after="0" w:line="338" w:lineRule="atLeast"/>
        <w:outlineLvl w:val="2"/>
        <w:rPr>
          <w:rFonts w:eastAsia="Times New Roman" w:cs="Helvetica"/>
          <w:b/>
          <w:bCs/>
          <w:color w:val="606060"/>
          <w:spacing w:val="-8"/>
          <w:lang/>
        </w:rPr>
      </w:pPr>
      <w:r w:rsidRPr="00EE3EBD">
        <w:rPr>
          <w:rFonts w:eastAsia="Times New Roman" w:cs="Helvetica"/>
          <w:b/>
          <w:bCs/>
          <w:color w:val="606060"/>
          <w:spacing w:val="-8"/>
          <w:lang/>
        </w:rPr>
        <w:br/>
      </w:r>
    </w:p>
    <w:p w:rsidR="00EE3EBD" w:rsidRPr="00EE3EBD" w:rsidRDefault="00EE3EBD" w:rsidP="00EE3EBD">
      <w:pPr>
        <w:spacing w:after="0" w:line="338" w:lineRule="atLeast"/>
        <w:rPr>
          <w:rFonts w:eastAsia="Times New Roman" w:cs="Arial"/>
          <w:b/>
          <w:bCs/>
          <w:color w:val="606060"/>
          <w:lang/>
        </w:rPr>
      </w:pPr>
      <w:r w:rsidRPr="00EE3EBD">
        <w:rPr>
          <w:rFonts w:eastAsia="Times New Roman" w:cs="Arial"/>
          <w:b/>
          <w:bCs/>
          <w:color w:val="606060"/>
          <w:lang/>
        </w:rPr>
        <w:t>Države članice so v okviru Sveta EU sprejele reformo sektorja cestnega prometa EU, znano kot sveženj o mobilnosti. Novi predpisi naj bi izboljšali delovne pogoje voznikov, uvedli posebna pravila o napotitvi voznikov v mednarodnem prometu in posodobili določbe o dostopu do trga prevoza blaga. Z današnjim glasovanjem po pisnem postopku je Svet sprejel stališče v prvi obravnavi. Zakonodajne akte mora zdaj sprejeti Evropski parlament v drugi obravnavi, nakar bodo objavljeni v Uradnem listu.</w:t>
      </w:r>
      <w:r w:rsidRPr="00EE3EBD">
        <w:rPr>
          <w:rFonts w:eastAsia="Times New Roman" w:cs="Arial"/>
          <w:b/>
          <w:bCs/>
          <w:color w:val="606060"/>
          <w:lang/>
        </w:rPr>
        <w:br/>
        <w:t> </w:t>
      </w:r>
      <w:r w:rsidRPr="00EE3EBD">
        <w:rPr>
          <w:rFonts w:eastAsia="Times New Roman" w:cs="Arial"/>
          <w:b/>
          <w:bCs/>
          <w:color w:val="606060"/>
          <w:lang/>
        </w:rPr>
        <w:br/>
        <w:t>Več:</w:t>
      </w:r>
      <w:r w:rsidRPr="00EE3EBD">
        <w:rPr>
          <w:rFonts w:eastAsia="Times New Roman" w:cs="Arial"/>
          <w:b/>
          <w:bCs/>
          <w:color w:val="606060"/>
          <w:lang/>
        </w:rPr>
        <w:br/>
      </w:r>
      <w:hyperlink r:id="rId7" w:history="1">
        <w:r w:rsidRPr="00EE3EBD">
          <w:rPr>
            <w:rFonts w:eastAsia="Times New Roman" w:cs="Arial"/>
            <w:color w:val="DAA520"/>
            <w:u w:val="single"/>
            <w:lang/>
          </w:rPr>
          <w:t>Uredba o dostopu do poklica in trga</w:t>
        </w:r>
      </w:hyperlink>
      <w:r w:rsidRPr="00EE3EBD">
        <w:rPr>
          <w:rFonts w:eastAsia="Times New Roman" w:cs="Arial"/>
          <w:b/>
          <w:bCs/>
          <w:color w:val="606060"/>
          <w:lang/>
        </w:rPr>
        <w:br/>
        <w:t>in</w:t>
      </w:r>
      <w:r w:rsidRPr="00EE3EBD">
        <w:rPr>
          <w:rFonts w:eastAsia="Times New Roman" w:cs="Arial"/>
          <w:b/>
          <w:bCs/>
          <w:color w:val="606060"/>
          <w:lang/>
        </w:rPr>
        <w:br/>
      </w:r>
      <w:hyperlink r:id="rId8" w:history="1">
        <w:r w:rsidRPr="00EE3EBD">
          <w:rPr>
            <w:rFonts w:eastAsia="Times New Roman" w:cs="Arial"/>
            <w:color w:val="DAA520"/>
            <w:u w:val="single"/>
            <w:lang/>
          </w:rPr>
          <w:t>Uredba o času vožnje in času počitka ter tahografih</w:t>
        </w:r>
      </w:hyperlink>
      <w:r w:rsidRPr="00EE3EBD">
        <w:rPr>
          <w:rFonts w:eastAsia="Times New Roman" w:cs="Arial"/>
          <w:b/>
          <w:bCs/>
          <w:color w:val="606060"/>
          <w:lang/>
        </w:rPr>
        <w:br/>
        <w:t>in</w:t>
      </w:r>
      <w:r w:rsidRPr="00EE3EBD">
        <w:rPr>
          <w:rFonts w:eastAsia="Times New Roman" w:cs="Arial"/>
          <w:b/>
          <w:bCs/>
          <w:color w:val="606060"/>
          <w:lang/>
        </w:rPr>
        <w:br/>
      </w:r>
      <w:hyperlink r:id="rId9" w:history="1">
        <w:r w:rsidRPr="00EE3EBD">
          <w:rPr>
            <w:rFonts w:eastAsia="Times New Roman" w:cs="Arial"/>
            <w:color w:val="DAA520"/>
            <w:u w:val="single"/>
            <w:lang/>
          </w:rPr>
          <w:t>Direktiva o izvrševanju in napotitvi voznikov v sektorju cestnega prometa</w:t>
        </w:r>
      </w:hyperlink>
    </w:p>
    <w:p w:rsidR="00EE3EBD" w:rsidRPr="00EE3EBD" w:rsidRDefault="00EE3EBD" w:rsidP="00EE3EBD">
      <w:pPr>
        <w:spacing w:after="0" w:line="338" w:lineRule="atLeast"/>
        <w:rPr>
          <w:rFonts w:eastAsia="Times New Roman" w:cs="Arial"/>
          <w:b/>
          <w:bCs/>
          <w:color w:val="606060"/>
          <w:lang/>
        </w:rPr>
      </w:pPr>
    </w:p>
    <w:p w:rsidR="00EE3EBD" w:rsidRPr="00EE3EBD" w:rsidRDefault="00EE3EBD" w:rsidP="00EE3EBD">
      <w:pPr>
        <w:pStyle w:val="ListParagraph"/>
        <w:numPr>
          <w:ilvl w:val="0"/>
          <w:numId w:val="2"/>
        </w:numPr>
        <w:spacing w:after="0" w:line="338" w:lineRule="atLeast"/>
        <w:outlineLvl w:val="2"/>
        <w:rPr>
          <w:rFonts w:eastAsia="Times New Roman" w:cs="Helvetica"/>
          <w:b/>
          <w:bCs/>
          <w:color w:val="606060"/>
          <w:spacing w:val="-8"/>
          <w:lang/>
        </w:rPr>
      </w:pPr>
      <w:r w:rsidRPr="00EE3EBD">
        <w:rPr>
          <w:rFonts w:eastAsia="Times New Roman" w:cs="Helvetica"/>
          <w:b/>
          <w:bCs/>
          <w:color w:val="000080"/>
          <w:spacing w:val="-8"/>
          <w:lang/>
        </w:rPr>
        <w:t>Poziv za sodelovanje na dnevu EIC za vlagatelje (EIC Investor Day)</w:t>
      </w:r>
      <w:r w:rsidRPr="00EE3EBD">
        <w:rPr>
          <w:rFonts w:eastAsia="Times New Roman" w:cs="Helvetica"/>
          <w:b/>
          <w:bCs/>
          <w:color w:val="606060"/>
          <w:spacing w:val="-8"/>
          <w:lang/>
        </w:rPr>
        <w:br/>
        <w:t> </w:t>
      </w:r>
    </w:p>
    <w:p w:rsidR="00EE3EBD" w:rsidRPr="00EE3EBD" w:rsidRDefault="00EE3EBD" w:rsidP="00EE3EBD">
      <w:pPr>
        <w:spacing w:after="0" w:line="338" w:lineRule="atLeast"/>
        <w:rPr>
          <w:rFonts w:eastAsia="Times New Roman" w:cs="Arial"/>
          <w:color w:val="DAA520"/>
          <w:u w:val="single"/>
          <w:lang/>
        </w:rPr>
      </w:pPr>
      <w:r w:rsidRPr="00EE3EBD">
        <w:rPr>
          <w:rFonts w:eastAsia="Times New Roman" w:cs="Arial"/>
          <w:b/>
          <w:bCs/>
          <w:color w:val="606060"/>
          <w:lang/>
        </w:rPr>
        <w:br/>
        <w:t xml:space="preserve">Evropski svet za inovacije (EIC) in mreža Bpifrance – EuroQuity  sta pripravila prvi dan EIC za </w:t>
      </w:r>
      <w:r w:rsidRPr="00EE3EBD">
        <w:rPr>
          <w:rFonts w:eastAsia="Times New Roman" w:cs="Arial"/>
          <w:b/>
          <w:bCs/>
          <w:color w:val="606060"/>
          <w:lang/>
        </w:rPr>
        <w:lastRenderedPageBreak/>
        <w:t>vlagatelje v letu 2020. Zaradi epidemije koronavirusa je dogodek potekal v celoti virtualno. Udeležilo se ga je 19 visoko inovativnih  malih in srednjih podjetij, ki so se predstavila 40 do 50 vlagateljem na dan. Skupaj se je dogodka udeležilo več kot 100 vlagateljev.  Aprila in maja je predvidenih še več takšnih srečanj, eno tudi o Covid-19.  V jeseni je v Dublinu predviden še dogodek z možnostjo fizične udeležbe. Organizatorji vabijo podjetja k udeležbi.</w:t>
      </w:r>
      <w:r w:rsidRPr="00EE3EBD">
        <w:rPr>
          <w:rFonts w:eastAsia="Times New Roman" w:cs="Arial"/>
          <w:b/>
          <w:bCs/>
          <w:color w:val="606060"/>
          <w:lang/>
        </w:rPr>
        <w:br/>
        <w:t> </w:t>
      </w:r>
      <w:r w:rsidRPr="00EE3EBD">
        <w:rPr>
          <w:rFonts w:eastAsia="Times New Roman" w:cs="Arial"/>
          <w:b/>
          <w:bCs/>
          <w:color w:val="606060"/>
          <w:lang/>
        </w:rPr>
        <w:br/>
        <w:t>Več:</w:t>
      </w:r>
      <w:r w:rsidRPr="00EE3EBD">
        <w:rPr>
          <w:rFonts w:eastAsia="Times New Roman" w:cs="Arial"/>
          <w:b/>
          <w:bCs/>
          <w:color w:val="606060"/>
          <w:lang/>
        </w:rPr>
        <w:br/>
      </w:r>
      <w:hyperlink r:id="rId10" w:history="1">
        <w:r w:rsidRPr="00EE3EBD">
          <w:rPr>
            <w:rFonts w:eastAsia="Times New Roman" w:cs="Arial"/>
            <w:color w:val="DAA520"/>
            <w:u w:val="single"/>
            <w:lang/>
          </w:rPr>
          <w:t>Sporočilo z vabilom k udeležbi</w:t>
        </w:r>
      </w:hyperlink>
    </w:p>
    <w:p w:rsidR="00EE3EBD" w:rsidRPr="00EE3EBD" w:rsidRDefault="00EE3EBD" w:rsidP="00EE3EBD">
      <w:pPr>
        <w:spacing w:after="0" w:line="338" w:lineRule="atLeast"/>
        <w:rPr>
          <w:rFonts w:eastAsia="Times New Roman" w:cs="Arial"/>
          <w:color w:val="DAA520"/>
          <w:u w:val="single"/>
          <w:lang/>
        </w:rPr>
      </w:pPr>
    </w:p>
    <w:p w:rsidR="00EE3EBD" w:rsidRPr="00EE3EBD" w:rsidRDefault="00EE3EBD" w:rsidP="00EE3EBD">
      <w:pPr>
        <w:pStyle w:val="ListParagraph"/>
        <w:framePr w:hSpace="45" w:wrap="around" w:vAnchor="text" w:hAnchor="text"/>
        <w:numPr>
          <w:ilvl w:val="0"/>
          <w:numId w:val="2"/>
        </w:numPr>
        <w:spacing w:after="0" w:line="338" w:lineRule="atLeast"/>
        <w:outlineLvl w:val="2"/>
        <w:rPr>
          <w:rFonts w:eastAsia="Times New Roman" w:cs="Helvetica"/>
          <w:b/>
          <w:bCs/>
          <w:color w:val="606060"/>
          <w:spacing w:val="-8"/>
          <w:lang/>
        </w:rPr>
      </w:pPr>
      <w:r w:rsidRPr="00EE3EBD">
        <w:rPr>
          <w:rFonts w:eastAsia="Times New Roman" w:cs="Helvetica"/>
          <w:b/>
          <w:bCs/>
          <w:color w:val="000080"/>
          <w:spacing w:val="-8"/>
          <w:lang/>
        </w:rPr>
        <w:t>Posvetovanji o digitalnih finančnih storitvah in plačilih malih vrednosti</w:t>
      </w:r>
      <w:r w:rsidRPr="00EE3EBD">
        <w:rPr>
          <w:rFonts w:eastAsia="Times New Roman" w:cs="Helvetica"/>
          <w:b/>
          <w:bCs/>
          <w:color w:val="606060"/>
          <w:spacing w:val="-8"/>
          <w:lang/>
        </w:rPr>
        <w:br/>
      </w:r>
    </w:p>
    <w:p w:rsidR="00EE3EBD" w:rsidRPr="00EE3EBD" w:rsidRDefault="00EE3EBD" w:rsidP="00B6040F">
      <w:pPr>
        <w:framePr w:hSpace="45" w:wrap="around" w:vAnchor="text" w:hAnchor="text"/>
        <w:spacing w:after="0" w:line="338" w:lineRule="atLeast"/>
        <w:rPr>
          <w:rFonts w:eastAsia="Times New Roman" w:cs="Arial"/>
          <w:b/>
          <w:bCs/>
          <w:color w:val="606060"/>
          <w:lang/>
        </w:rPr>
      </w:pPr>
      <w:r w:rsidRPr="00EE3EBD">
        <w:rPr>
          <w:rFonts w:eastAsia="Times New Roman" w:cs="Arial"/>
          <w:b/>
          <w:bCs/>
          <w:color w:val="606060"/>
          <w:lang/>
        </w:rPr>
        <w:t>Evropska komisija prek posvetovanj o digitalnih finančnih storitvah in plačilih malih vrednosti do 26. junija zbira mnenja in predloge deležnikov.</w:t>
      </w:r>
      <w:r w:rsidRPr="00EE3EBD">
        <w:rPr>
          <w:rFonts w:eastAsia="Times New Roman" w:cs="Arial"/>
          <w:b/>
          <w:bCs/>
          <w:color w:val="606060"/>
          <w:lang/>
        </w:rPr>
        <w:br/>
        <w:t> </w:t>
      </w:r>
      <w:r w:rsidRPr="00EE3EBD">
        <w:rPr>
          <w:rFonts w:eastAsia="Times New Roman" w:cs="Arial"/>
          <w:b/>
          <w:bCs/>
          <w:color w:val="606060"/>
          <w:lang/>
        </w:rPr>
        <w:br/>
        <w:t>Več:</w:t>
      </w:r>
      <w:r w:rsidRPr="00EE3EBD">
        <w:rPr>
          <w:rFonts w:eastAsia="Times New Roman" w:cs="Arial"/>
          <w:b/>
          <w:bCs/>
          <w:color w:val="606060"/>
          <w:lang/>
        </w:rPr>
        <w:br/>
      </w:r>
      <w:hyperlink r:id="rId11" w:history="1">
        <w:r w:rsidRPr="00EE3EBD">
          <w:rPr>
            <w:rFonts w:eastAsia="Times New Roman" w:cs="Arial"/>
            <w:color w:val="DAA520"/>
            <w:u w:val="single"/>
            <w:lang/>
          </w:rPr>
          <w:t>Posvetovanje o digitalnih finančnih storitvah</w:t>
        </w:r>
      </w:hyperlink>
      <w:r w:rsidRPr="00EE3EBD">
        <w:rPr>
          <w:rFonts w:eastAsia="Times New Roman" w:cs="Arial"/>
          <w:b/>
          <w:bCs/>
          <w:color w:val="606060"/>
          <w:lang/>
        </w:rPr>
        <w:br/>
        <w:t>in</w:t>
      </w:r>
      <w:r w:rsidRPr="00EE3EBD">
        <w:rPr>
          <w:rFonts w:eastAsia="Times New Roman" w:cs="Arial"/>
          <w:b/>
          <w:bCs/>
          <w:color w:val="606060"/>
          <w:lang/>
        </w:rPr>
        <w:br/>
      </w:r>
      <w:hyperlink r:id="rId12" w:history="1">
        <w:r w:rsidRPr="00EE3EBD">
          <w:rPr>
            <w:rFonts w:eastAsia="Times New Roman" w:cs="Arial"/>
            <w:color w:val="DAA520"/>
            <w:u w:val="single"/>
            <w:lang/>
          </w:rPr>
          <w:t>Posvetovanje o plačilih malih vrednosti</w:t>
        </w:r>
      </w:hyperlink>
    </w:p>
    <w:p w:rsidR="00EE3EBD" w:rsidRPr="00EE3EBD" w:rsidRDefault="00EE3EBD" w:rsidP="00B6040F">
      <w:pPr>
        <w:framePr w:hSpace="45" w:wrap="around" w:vAnchor="text" w:hAnchor="text"/>
        <w:spacing w:after="0" w:line="338" w:lineRule="atLeast"/>
        <w:rPr>
          <w:rFonts w:eastAsia="Times New Roman" w:cs="Arial"/>
          <w:b/>
          <w:bCs/>
          <w:color w:val="606060"/>
          <w:lang/>
        </w:rPr>
      </w:pPr>
    </w:p>
    <w:p w:rsidR="00EE3EBD" w:rsidRPr="00EE3EBD" w:rsidRDefault="00EE3EBD" w:rsidP="00EE3EBD">
      <w:pPr>
        <w:framePr w:hSpace="45" w:wrap="around" w:vAnchor="text" w:hAnchor="text"/>
        <w:spacing w:after="0" w:line="240" w:lineRule="auto"/>
        <w:rPr>
          <w:rFonts w:eastAsia="Times New Roman" w:cs="Times New Roman"/>
          <w:lang/>
        </w:rPr>
      </w:pPr>
    </w:p>
    <w:p w:rsidR="00EE3EBD" w:rsidRPr="00EE3EBD" w:rsidRDefault="00EE3EBD" w:rsidP="00B6040F">
      <w:pPr>
        <w:framePr w:hSpace="45" w:wrap="around" w:vAnchor="text" w:hAnchor="text"/>
        <w:spacing w:after="0" w:line="338" w:lineRule="atLeast"/>
        <w:rPr>
          <w:rFonts w:eastAsia="Times New Roman" w:cs="Helvetica"/>
          <w:color w:val="606060"/>
          <w:lang/>
        </w:rPr>
      </w:pPr>
    </w:p>
    <w:p w:rsidR="00EE3EBD" w:rsidRPr="00EE3EBD" w:rsidRDefault="00EE3EBD" w:rsidP="00EE3EBD">
      <w:pPr>
        <w:spacing w:after="0" w:line="338" w:lineRule="atLeast"/>
        <w:rPr>
          <w:rFonts w:eastAsia="Times New Roman" w:cs="Arial"/>
          <w:b/>
          <w:bCs/>
          <w:color w:val="606060"/>
          <w:lang/>
        </w:rPr>
      </w:pPr>
    </w:p>
    <w:p w:rsidR="00EE3EBD" w:rsidRPr="00EE3EBD" w:rsidRDefault="00EE3EBD" w:rsidP="00EE3EBD">
      <w:pPr>
        <w:pStyle w:val="ListParagraph"/>
        <w:numPr>
          <w:ilvl w:val="0"/>
          <w:numId w:val="2"/>
        </w:numPr>
        <w:spacing w:after="0" w:line="338" w:lineRule="atLeast"/>
        <w:outlineLvl w:val="2"/>
        <w:rPr>
          <w:rFonts w:eastAsia="Times New Roman" w:cs="Helvetica"/>
          <w:b/>
          <w:bCs/>
          <w:color w:val="606060"/>
          <w:spacing w:val="-8"/>
          <w:lang/>
        </w:rPr>
      </w:pPr>
      <w:r w:rsidRPr="00EE3EBD">
        <w:rPr>
          <w:rFonts w:eastAsia="Times New Roman" w:cs="Helvetica"/>
          <w:b/>
          <w:bCs/>
          <w:color w:val="000080"/>
          <w:spacing w:val="-8"/>
          <w:lang/>
        </w:rPr>
        <w:t>Zbiranje predlogov za »časovni načrt podnebne banke za obdobje 2021–2025«</w:t>
      </w:r>
      <w:r w:rsidRPr="00EE3EBD">
        <w:rPr>
          <w:rFonts w:eastAsia="Times New Roman" w:cs="Helvetica"/>
          <w:b/>
          <w:bCs/>
          <w:color w:val="606060"/>
          <w:spacing w:val="-8"/>
          <w:lang/>
        </w:rPr>
        <w:br/>
        <w:t> </w:t>
      </w:r>
    </w:p>
    <w:p w:rsidR="004E0CF5" w:rsidRPr="00EE3EBD" w:rsidRDefault="00EE3EBD" w:rsidP="00EE3EBD">
      <w:pPr>
        <w:rPr>
          <w:rFonts w:eastAsia="Times New Roman" w:cs="Arial"/>
          <w:color w:val="DAA520"/>
          <w:u w:val="single"/>
          <w:lang/>
        </w:rPr>
      </w:pPr>
      <w:r w:rsidRPr="00EE3EBD">
        <w:rPr>
          <w:rFonts w:eastAsia="Times New Roman" w:cs="Arial"/>
          <w:b/>
          <w:bCs/>
          <w:color w:val="606060"/>
          <w:lang/>
        </w:rPr>
        <w:br/>
        <w:t>Evropska investicijska banka (EIB) vabi zainteresirane deležnike, naj ji do 12. junija pošljejo svoje predloge za pripravo »časovnega načrta podnebne banke za obdobje 2021–2025«.</w:t>
      </w:r>
      <w:r w:rsidRPr="00EE3EBD">
        <w:rPr>
          <w:rFonts w:eastAsia="Times New Roman" w:cs="Arial"/>
          <w:b/>
          <w:bCs/>
          <w:color w:val="606060"/>
          <w:lang/>
        </w:rPr>
        <w:br/>
        <w:t> </w:t>
      </w:r>
      <w:r w:rsidRPr="00EE3EBD">
        <w:rPr>
          <w:rFonts w:eastAsia="Times New Roman" w:cs="Arial"/>
          <w:b/>
          <w:bCs/>
          <w:color w:val="606060"/>
          <w:lang/>
        </w:rPr>
        <w:br/>
        <w:t>Več:</w:t>
      </w:r>
      <w:r w:rsidRPr="00EE3EBD">
        <w:rPr>
          <w:rFonts w:eastAsia="Times New Roman" w:cs="Arial"/>
          <w:b/>
          <w:bCs/>
          <w:color w:val="606060"/>
          <w:lang/>
        </w:rPr>
        <w:br/>
      </w:r>
      <w:hyperlink r:id="rId13" w:history="1">
        <w:r w:rsidRPr="00EE3EBD">
          <w:rPr>
            <w:rFonts w:eastAsia="Times New Roman" w:cs="Arial"/>
            <w:color w:val="DAA520"/>
            <w:u w:val="single"/>
            <w:lang/>
          </w:rPr>
          <w:t>Spletna stran posvetovanja</w:t>
        </w:r>
      </w:hyperlink>
    </w:p>
    <w:p w:rsidR="00EE3EBD" w:rsidRPr="00EE3EBD" w:rsidRDefault="00EE3EBD" w:rsidP="00EE3EBD">
      <w:pPr>
        <w:rPr>
          <w:rFonts w:eastAsia="Times New Roman" w:cs="Arial"/>
          <w:color w:val="DAA520"/>
          <w:u w:val="single"/>
          <w:lang/>
        </w:rPr>
      </w:pPr>
    </w:p>
    <w:p w:rsidR="00EE3EBD" w:rsidRPr="00EE3EBD" w:rsidRDefault="00EE3EBD" w:rsidP="00EE3EBD">
      <w:pPr>
        <w:pStyle w:val="ListParagraph"/>
        <w:numPr>
          <w:ilvl w:val="0"/>
          <w:numId w:val="2"/>
        </w:numPr>
        <w:spacing w:after="0" w:line="338" w:lineRule="atLeast"/>
        <w:outlineLvl w:val="2"/>
        <w:rPr>
          <w:rFonts w:eastAsia="Times New Roman" w:cs="Helvetica"/>
          <w:b/>
          <w:bCs/>
          <w:color w:val="606060"/>
          <w:spacing w:val="-8"/>
          <w:lang/>
        </w:rPr>
      </w:pPr>
      <w:r w:rsidRPr="00EE3EBD">
        <w:rPr>
          <w:rFonts w:eastAsia="Times New Roman" w:cs="Helvetica"/>
          <w:b/>
          <w:bCs/>
          <w:color w:val="000080"/>
          <w:spacing w:val="-8"/>
          <w:lang/>
        </w:rPr>
        <w:t>Evropska komisija je sprejela dodatne ukrepe za pomoč kmetijsko-prehrambnemu sektorju</w:t>
      </w:r>
    </w:p>
    <w:p w:rsidR="00EE3EBD" w:rsidRPr="00EE3EBD" w:rsidRDefault="00EE3EBD" w:rsidP="00EE3EBD">
      <w:pPr>
        <w:rPr>
          <w:rFonts w:eastAsia="Times New Roman" w:cs="Arial"/>
          <w:color w:val="DAA520"/>
          <w:u w:val="single"/>
          <w:lang/>
        </w:rPr>
      </w:pPr>
      <w:r w:rsidRPr="00EE3EBD">
        <w:rPr>
          <w:rFonts w:eastAsia="Times New Roman" w:cs="Arial"/>
          <w:b/>
          <w:bCs/>
          <w:color w:val="606060"/>
          <w:lang/>
        </w:rPr>
        <w:br/>
        <w:t>Evropska komisija je sprejela dodatne ukrepe za pomoč proizvajalcem hrane in kmetom, ki jih je prizadela epidemija koronavirusa. Povišala je delež za predplačila in zmanjšala administrativne zahteve.</w:t>
      </w:r>
      <w:r w:rsidRPr="00EE3EBD">
        <w:rPr>
          <w:rFonts w:eastAsia="Times New Roman" w:cs="Arial"/>
          <w:b/>
          <w:bCs/>
          <w:color w:val="606060"/>
          <w:lang/>
        </w:rPr>
        <w:br/>
        <w:t> </w:t>
      </w:r>
      <w:r w:rsidRPr="00EE3EBD">
        <w:rPr>
          <w:rFonts w:eastAsia="Times New Roman" w:cs="Arial"/>
          <w:b/>
          <w:bCs/>
          <w:color w:val="606060"/>
          <w:lang/>
        </w:rPr>
        <w:br/>
        <w:t>Več:</w:t>
      </w:r>
      <w:r w:rsidRPr="00EE3EBD">
        <w:rPr>
          <w:rFonts w:eastAsia="Times New Roman" w:cs="Arial"/>
          <w:b/>
          <w:bCs/>
          <w:color w:val="606060"/>
          <w:lang/>
        </w:rPr>
        <w:br/>
      </w:r>
      <w:hyperlink r:id="rId14" w:history="1">
        <w:r w:rsidRPr="00EE3EBD">
          <w:rPr>
            <w:rFonts w:eastAsia="Times New Roman" w:cs="Arial"/>
            <w:color w:val="DAA520"/>
            <w:u w:val="single"/>
            <w:lang/>
          </w:rPr>
          <w:t>Sporočilo Evropske komisije</w:t>
        </w:r>
      </w:hyperlink>
    </w:p>
    <w:p w:rsidR="00EE3EBD" w:rsidRPr="00EE3EBD" w:rsidRDefault="00EE3EBD" w:rsidP="00EE3EBD">
      <w:pPr>
        <w:rPr>
          <w:rFonts w:eastAsia="Times New Roman" w:cs="Arial"/>
          <w:color w:val="DAA520"/>
          <w:u w:val="single"/>
          <w:lang/>
        </w:rPr>
      </w:pPr>
    </w:p>
    <w:p w:rsidR="00EE3EBD" w:rsidRPr="00EE3EBD" w:rsidRDefault="00EE3EBD" w:rsidP="00EE3EBD">
      <w:pPr>
        <w:pStyle w:val="ListParagraph"/>
        <w:numPr>
          <w:ilvl w:val="0"/>
          <w:numId w:val="2"/>
        </w:numPr>
        <w:rPr>
          <w:rFonts w:cs="Arial"/>
          <w:b/>
          <w:i/>
          <w:color w:val="2F5496" w:themeColor="accent1" w:themeShade="BF"/>
        </w:rPr>
      </w:pPr>
      <w:r w:rsidRPr="00EE3EBD">
        <w:rPr>
          <w:b/>
          <w:color w:val="2F5496" w:themeColor="accent1" w:themeShade="BF"/>
        </w:rPr>
        <w:t>Evropski načrt za postopno odpravljanje zajezitvenih ukrepov zaradi izbruha koronavirusa</w:t>
      </w:r>
    </w:p>
    <w:p w:rsidR="00EE3EBD" w:rsidRPr="00EE3EBD" w:rsidRDefault="00EE3EBD" w:rsidP="00EE3EBD">
      <w:pPr>
        <w:jc w:val="both"/>
        <w:rPr>
          <w:rFonts w:cs="Arial"/>
          <w:bCs/>
          <w:iCs/>
        </w:rPr>
      </w:pPr>
      <w:r w:rsidRPr="00EE3EBD">
        <w:rPr>
          <w:rFonts w:cs="Arial"/>
          <w:bCs/>
          <w:iCs/>
        </w:rPr>
        <w:lastRenderedPageBreak/>
        <w:t>Evropska komisija je predstavila evropski načrt za postopno odpravljanje zajezitvenih ukrepov zaradi izbruha koronavirusa. Državam članicam priporoča, da bi ukrepi morali biti postopni, splošne ukrepe bi morali postopno nadomestiti  ciljno usmerjeni ukrepi, nadzor na notranjih mejah bi bilo treba odpraviti usklajeno, ponovni zagon gospodarske aktivnosti bi bilo treba uvesti postopno, postopno bi bilo treba dopustiti zbiranje ljudi. Ob postopni odpravi zajezitvenih ukrepov je treba hkrati strateško načrtovati okrevanje za oživitev gospodarstva in povratek k trajnostni rasti.</w:t>
      </w:r>
    </w:p>
    <w:p w:rsidR="00EE3EBD" w:rsidRPr="00EE3EBD" w:rsidRDefault="00EE3EBD" w:rsidP="00EE3EBD">
      <w:pPr>
        <w:jc w:val="both"/>
        <w:rPr>
          <w:rFonts w:cs="Arial"/>
        </w:rPr>
      </w:pPr>
      <w:r w:rsidRPr="00EE3EBD">
        <w:rPr>
          <w:rFonts w:cs="Arial"/>
        </w:rPr>
        <w:t>Glede zbiranja ljudi Evropska komisija v načrtu navaja, da je treba upoštevati posebnosti različnih kategorij dejavnosti, kot so šole in univerze, komercialna dejavnost (prodaja na drobno), družabne dejavnosti (restavracije, kavarne), množične prireditve.</w:t>
      </w:r>
    </w:p>
    <w:p w:rsidR="00EE3EBD" w:rsidRPr="00EE3EBD" w:rsidRDefault="00EE3EBD" w:rsidP="00EE3EBD">
      <w:pPr>
        <w:jc w:val="both"/>
        <w:rPr>
          <w:rFonts w:cs="Arial"/>
        </w:rPr>
      </w:pPr>
      <w:r w:rsidRPr="00EE3EBD">
        <w:rPr>
          <w:rFonts w:cs="Arial"/>
        </w:rPr>
        <w:t>Strateško načrtovanje okrevanja za oživitev gospodarstva in povratek k trajnostni rasti po razlagi Evropske komisije  vključuje omogočanje dvojnega prehoda na bolj zeleno in digitalno družbo ter učenje na podlagi vseh spoznanj iz sedanje krize za pripravljenost in odpornost EU. Komisija obljublja, da bo pripravila načrt za okrevanje, ki bo temeljil na prenovljenem predlogu naslednjega dolgoročnega proračuna EU (večletnega finančnega okvira) in posodobljenem delovnem programu Komisije za leto 2020.</w:t>
      </w:r>
    </w:p>
    <w:p w:rsidR="00EE3EBD" w:rsidRPr="00EE3EBD" w:rsidRDefault="00EE3EBD" w:rsidP="00EE3EBD">
      <w:pPr>
        <w:jc w:val="both"/>
        <w:rPr>
          <w:rFonts w:cs="Arial"/>
          <w:b/>
        </w:rPr>
      </w:pPr>
      <w:r w:rsidRPr="00EE3EBD">
        <w:rPr>
          <w:rFonts w:cs="Arial"/>
          <w:b/>
        </w:rPr>
        <w:t>Koristne informacije:</w:t>
      </w:r>
    </w:p>
    <w:p w:rsidR="00EE3EBD" w:rsidRPr="00EE3EBD" w:rsidRDefault="00EE3EBD" w:rsidP="00EE3EBD">
      <w:pPr>
        <w:pStyle w:val="ListParagraph"/>
        <w:numPr>
          <w:ilvl w:val="0"/>
          <w:numId w:val="1"/>
        </w:numPr>
        <w:jc w:val="both"/>
        <w:rPr>
          <w:rFonts w:cs="Arial"/>
        </w:rPr>
      </w:pPr>
      <w:r w:rsidRPr="00EE3EBD">
        <w:rPr>
          <w:rFonts w:cs="Arial"/>
        </w:rPr>
        <w:t>Spletna stran z načrtom:</w:t>
      </w:r>
    </w:p>
    <w:p w:rsidR="00EE3EBD" w:rsidRPr="007015A5" w:rsidRDefault="00EE3EBD" w:rsidP="00EE3EBD">
      <w:pPr>
        <w:pStyle w:val="ListParagraph"/>
        <w:numPr>
          <w:ilvl w:val="0"/>
          <w:numId w:val="1"/>
        </w:numPr>
        <w:jc w:val="both"/>
        <w:rPr>
          <w:rFonts w:ascii="Arial" w:hAnsi="Arial" w:cs="Arial"/>
          <w:sz w:val="20"/>
          <w:szCs w:val="20"/>
        </w:rPr>
      </w:pPr>
      <w:hyperlink r:id="rId15" w:history="1">
        <w:r w:rsidRPr="007015A5">
          <w:rPr>
            <w:rStyle w:val="Hyperlink"/>
            <w:rFonts w:ascii="Arial" w:hAnsi="Arial" w:cs="Arial"/>
            <w:sz w:val="20"/>
            <w:szCs w:val="20"/>
          </w:rPr>
          <w:t>https://ec.europa.eu/info/live-work-travel-eu/health/coronavirus-response/european-roadmap-lifting-coronavirus-containment-measures_en</w:t>
        </w:r>
      </w:hyperlink>
    </w:p>
    <w:p w:rsidR="00EE3EBD" w:rsidRPr="00EE3EBD" w:rsidRDefault="00EE3EBD" w:rsidP="00EE3EBD">
      <w:pPr>
        <w:rPr>
          <w:lang w:val="sl-SI"/>
        </w:rPr>
      </w:pPr>
    </w:p>
    <w:sectPr w:rsidR="00EE3EBD" w:rsidRPr="00EE3E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764F6"/>
    <w:multiLevelType w:val="hybridMultilevel"/>
    <w:tmpl w:val="D97C2D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ECD641C"/>
    <w:multiLevelType w:val="hybridMultilevel"/>
    <w:tmpl w:val="00BC99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BD"/>
    <w:rsid w:val="004E0CF5"/>
    <w:rsid w:val="005F3C0E"/>
    <w:rsid w:val="00EE3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9603"/>
  <w15:chartTrackingRefBased/>
  <w15:docId w15:val="{94590D0E-FB23-424C-A93D-1705EE99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EBD"/>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EBD"/>
    <w:rPr>
      <w:color w:val="0000FF"/>
      <w:u w:val="single"/>
    </w:rPr>
  </w:style>
  <w:style w:type="paragraph" w:styleId="ListParagraph">
    <w:name w:val="List Paragraph"/>
    <w:basedOn w:val="Normal"/>
    <w:uiPriority w:val="34"/>
    <w:qFormat/>
    <w:rsid w:val="00EE3EBD"/>
    <w:pPr>
      <w:spacing w:after="200" w:line="276" w:lineRule="auto"/>
      <w:ind w:left="720"/>
      <w:contextualSpacing/>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onsilium.europa.eu/doc/document/ST-5114-2020-INIT/en/pdf" TargetMode="External"/><Relationship Id="rId13" Type="http://schemas.openxmlformats.org/officeDocument/2006/relationships/hyperlink" Target="https://www.eib.org/en/about/partners/cso/consultations/item/cb-roadmap-stakeholder-engagement" TargetMode="External"/><Relationship Id="rId3" Type="http://schemas.openxmlformats.org/officeDocument/2006/relationships/settings" Target="settings.xml"/><Relationship Id="rId7" Type="http://schemas.openxmlformats.org/officeDocument/2006/relationships/hyperlink" Target="https://data.consilium.europa.eu/doc/document/ST-5115-2020-INIT/en/pdf" TargetMode="External"/><Relationship Id="rId12" Type="http://schemas.openxmlformats.org/officeDocument/2006/relationships/hyperlink" Target="https://ec.europa.eu/info/consultations/finance-2020-retail-payments-strategy_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if.org/what_we_do/equity/escalar/index.htm" TargetMode="External"/><Relationship Id="rId11" Type="http://schemas.openxmlformats.org/officeDocument/2006/relationships/hyperlink" Target="https://ec.europa.eu/info/consultations/finance-2020-digital-finance-strategy_en" TargetMode="External"/><Relationship Id="rId5" Type="http://schemas.openxmlformats.org/officeDocument/2006/relationships/hyperlink" Target="https://www.eca.europa.eu/lists/ecadocuments/op20_03/op20_03_en.pdf" TargetMode="External"/><Relationship Id="rId15" Type="http://schemas.openxmlformats.org/officeDocument/2006/relationships/hyperlink" Target="https://ec.europa.eu/info/live-work-travel-eu/health/coronavirus-response/european-roadmap-lifting-coronavirus-containment-measures_en" TargetMode="External"/><Relationship Id="rId10" Type="http://schemas.openxmlformats.org/officeDocument/2006/relationships/hyperlink" Target="https://ec.europa.eu/easme/en/news/eic-investor-day-bpifrance-digital-dive-deep-tech" TargetMode="External"/><Relationship Id="rId4" Type="http://schemas.openxmlformats.org/officeDocument/2006/relationships/webSettings" Target="webSettings.xml"/><Relationship Id="rId9" Type="http://schemas.openxmlformats.org/officeDocument/2006/relationships/hyperlink" Target="https://data.consilium.europa.eu/doc/document/ST-5112-2020-INIT/en/pdf" TargetMode="External"/><Relationship Id="rId14" Type="http://schemas.openxmlformats.org/officeDocument/2006/relationships/hyperlink" Target="https://ec.europa.eu/info/news/coronavirus-commission-adopts-additional-measures-support-agri-food-sector-2020-apr-16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Ferlinc</dc:creator>
  <cp:keywords/>
  <dc:description/>
  <cp:lastModifiedBy>Maja Ferlinc</cp:lastModifiedBy>
  <cp:revision>1</cp:revision>
  <dcterms:created xsi:type="dcterms:W3CDTF">2020-04-20T10:47:00Z</dcterms:created>
  <dcterms:modified xsi:type="dcterms:W3CDTF">2020-04-20T11:16:00Z</dcterms:modified>
</cp:coreProperties>
</file>