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673BF9" w14:paraId="5BDD8BB9" w14:textId="77777777" w:rsidTr="00673BF9">
        <w:tc>
          <w:tcPr>
            <w:tcW w:w="0" w:type="auto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13"/>
              <w:gridCol w:w="4513"/>
            </w:tblGrid>
            <w:tr w:rsidR="00673BF9" w14:paraId="6B2BF748" w14:textId="77777777">
              <w:tc>
                <w:tcPr>
                  <w:tcW w:w="4500" w:type="dxa"/>
                  <w:hideMark/>
                </w:tcPr>
                <w:tbl>
                  <w:tblPr>
                    <w:tblpPr w:leftFromText="45" w:rightFromText="45" w:vertAnchor="text"/>
                    <w:tblW w:w="45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13"/>
                  </w:tblGrid>
                  <w:tr w:rsidR="00673BF9" w14:paraId="206E3497" w14:textId="77777777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14:paraId="2561AA86" w14:textId="77777777" w:rsidR="00673BF9" w:rsidRDefault="00673BF9">
                        <w:pPr>
                          <w:pStyle w:val="Heading3"/>
                          <w:rPr>
                            <w:rFonts w:eastAsia="Times New Roman"/>
                            <w:lang w:eastAsia="en-BE"/>
                          </w:rPr>
                        </w:pPr>
                        <w:r>
                          <w:rPr>
                            <w:rStyle w:val="Strong"/>
                            <w:rFonts w:eastAsia="Times New Roman"/>
                            <w:b/>
                            <w:bCs/>
                            <w:color w:val="000080"/>
                          </w:rPr>
                          <w:t>Znani so dobitniki nagrad za socialne inovacije</w:t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br/>
                          <w:t> </w:t>
                        </w:r>
                      </w:p>
                      <w:p w14:paraId="2ED79B51" w14:textId="60C3903E" w:rsidR="00673BF9" w:rsidRDefault="00673BF9">
                        <w:pPr>
                          <w:spacing w:line="360" w:lineRule="auto"/>
                          <w:jc w:val="both"/>
                          <w:rPr>
                            <w:rFonts w:ascii="Helvetica" w:eastAsia="Times New Roman" w:hAnsi="Helvetica" w:cs="Helvetica"/>
                            <w:color w:val="60606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noProof/>
                            <w:color w:val="606060"/>
                            <w:sz w:val="18"/>
                            <w:szCs w:val="18"/>
                          </w:rPr>
                          <w:drawing>
                            <wp:inline distT="0" distB="0" distL="0" distR="0" wp14:anchorId="2FCD05B5" wp14:editId="2FB8D4AC">
                              <wp:extent cx="2540000" cy="1022350"/>
                              <wp:effectExtent l="0" t="0" r="0" b="6350"/>
                              <wp:docPr id="52" name="Picture 5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40000" cy="1022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606060"/>
                            <w:sz w:val="18"/>
                            <w:szCs w:val="18"/>
                          </w:rPr>
                          <w:br/>
                        </w:r>
                        <w:r>
                          <w:rPr>
                            <w:rStyle w:val="Strong"/>
                            <w:rFonts w:ascii="Arial" w:eastAsia="Times New Roman" w:hAnsi="Arial" w:cs="Arial"/>
                            <w:color w:val="606060"/>
                            <w:sz w:val="18"/>
                            <w:szCs w:val="18"/>
                          </w:rPr>
                          <w:t>Evropska komisija je razglasila letošnje dobitnike nagrad za socialne inovacije. To so belgijsko podjetje resortecs®, hrvaška digitalna platforma Snake i9n romunski WhyWe Craft.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606060"/>
                            <w:sz w:val="18"/>
                            <w:szCs w:val="18"/>
                          </w:rPr>
                          <w:br/>
                        </w:r>
                        <w:r>
                          <w:rPr>
                            <w:rStyle w:val="Strong"/>
                            <w:rFonts w:ascii="Arial" w:eastAsia="Times New Roman" w:hAnsi="Arial" w:cs="Arial"/>
                            <w:color w:val="606060"/>
                            <w:sz w:val="18"/>
                            <w:szCs w:val="18"/>
                          </w:rPr>
                          <w:t> 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606060"/>
                            <w:sz w:val="18"/>
                            <w:szCs w:val="18"/>
                          </w:rPr>
                          <w:br/>
                        </w:r>
                        <w:r>
                          <w:rPr>
                            <w:rStyle w:val="Strong"/>
                            <w:rFonts w:ascii="Arial" w:eastAsia="Times New Roman" w:hAnsi="Arial" w:cs="Arial"/>
                            <w:color w:val="606060"/>
                            <w:sz w:val="18"/>
                            <w:szCs w:val="18"/>
                          </w:rPr>
                          <w:t>Več: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606060"/>
                            <w:sz w:val="18"/>
                            <w:szCs w:val="18"/>
                          </w:rPr>
                          <w:br/>
                        </w:r>
                        <w:hyperlink r:id="rId7" w:history="1">
                          <w:r>
                            <w:rPr>
                              <w:rStyle w:val="Hyperlink"/>
                              <w:rFonts w:ascii="Arial" w:eastAsia="Times New Roman" w:hAnsi="Arial" w:cs="Arial"/>
                              <w:color w:val="DAA520"/>
                              <w:sz w:val="18"/>
                              <w:szCs w:val="18"/>
                            </w:rPr>
                            <w:t>Spletna stran z informacijami o nagradah in nagrajencih</w:t>
                          </w:r>
                        </w:hyperlink>
                      </w:p>
                    </w:tc>
                  </w:tr>
                </w:tbl>
                <w:p w14:paraId="3EE4473E" w14:textId="77777777" w:rsidR="00673BF9" w:rsidRDefault="00673BF9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0" w:type="dxa"/>
                  <w:hideMark/>
                </w:tcPr>
                <w:tbl>
                  <w:tblPr>
                    <w:tblpPr w:leftFromText="45" w:rightFromText="45" w:vertAnchor="text"/>
                    <w:tblW w:w="45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13"/>
                  </w:tblGrid>
                  <w:tr w:rsidR="00673BF9" w14:paraId="1F77E986" w14:textId="77777777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14:paraId="568DECD0" w14:textId="77777777" w:rsidR="00673BF9" w:rsidRDefault="00673BF9">
                        <w:pPr>
                          <w:pStyle w:val="Heading3"/>
                          <w:rPr>
                            <w:rFonts w:eastAsia="Times New Roman"/>
                          </w:rPr>
                        </w:pPr>
                        <w:r>
                          <w:rPr>
                            <w:rStyle w:val="Strong"/>
                            <w:rFonts w:eastAsia="Times New Roman"/>
                            <w:b/>
                            <w:bCs/>
                            <w:color w:val="000080"/>
                          </w:rPr>
                          <w:t>Razširitev direktive o administrativnem sodelovanju na kripto premoženje in e-denar</w:t>
                        </w:r>
                      </w:p>
                      <w:p w14:paraId="1DC2D8DB" w14:textId="1DE26400" w:rsidR="00673BF9" w:rsidRDefault="00673BF9">
                        <w:pPr>
                          <w:pStyle w:val="Heading3"/>
                          <w:jc w:val="both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 wp14:anchorId="6760AC3F" wp14:editId="76510965">
                              <wp:extent cx="2540000" cy="1022350"/>
                              <wp:effectExtent l="0" t="0" r="0" b="6350"/>
                              <wp:docPr id="51" name="Picture 5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40000" cy="1022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5706159C" w14:textId="77777777" w:rsidR="00673BF9" w:rsidRDefault="00673BF9">
                        <w:pPr>
                          <w:spacing w:line="360" w:lineRule="auto"/>
                          <w:jc w:val="both"/>
                          <w:rPr>
                            <w:rFonts w:ascii="Helvetica" w:eastAsia="Times New Roman" w:hAnsi="Helvetica" w:cs="Helvetica"/>
                            <w:color w:val="606060"/>
                            <w:sz w:val="23"/>
                            <w:szCs w:val="23"/>
                          </w:rPr>
                        </w:pPr>
                        <w:r>
                          <w:rPr>
                            <w:rStyle w:val="Strong"/>
                            <w:rFonts w:ascii="Arial" w:eastAsia="Times New Roman" w:hAnsi="Arial" w:cs="Arial"/>
                            <w:color w:val="606060"/>
                            <w:sz w:val="18"/>
                            <w:szCs w:val="18"/>
                          </w:rPr>
                          <w:t>Evropska komisija je objavila načrt za vključitev kriptopremoženja in e-denarja v direktivo o upravnem sodelovanju na področju obdavčevanja (DAC8). Predloge in mnenja deležnikov pričakuje do 21. decembra.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606060"/>
                            <w:sz w:val="18"/>
                            <w:szCs w:val="18"/>
                          </w:rPr>
                          <w:br/>
                        </w:r>
                        <w:r>
                          <w:rPr>
                            <w:rStyle w:val="Strong"/>
                            <w:rFonts w:ascii="Arial" w:eastAsia="Times New Roman" w:hAnsi="Arial" w:cs="Arial"/>
                            <w:color w:val="606060"/>
                            <w:sz w:val="18"/>
                            <w:szCs w:val="18"/>
                          </w:rPr>
                          <w:t> 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606060"/>
                            <w:sz w:val="18"/>
                            <w:szCs w:val="18"/>
                          </w:rPr>
                          <w:br/>
                        </w:r>
                        <w:r>
                          <w:rPr>
                            <w:rStyle w:val="Strong"/>
                            <w:rFonts w:ascii="Arial" w:eastAsia="Times New Roman" w:hAnsi="Arial" w:cs="Arial"/>
                            <w:color w:val="606060"/>
                            <w:sz w:val="18"/>
                            <w:szCs w:val="18"/>
                          </w:rPr>
                          <w:t>Več: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606060"/>
                            <w:sz w:val="18"/>
                            <w:szCs w:val="18"/>
                          </w:rPr>
                          <w:br/>
                        </w:r>
                        <w:hyperlink r:id="rId9" w:history="1">
                          <w:r>
                            <w:rPr>
                              <w:rStyle w:val="Hyperlink"/>
                              <w:rFonts w:ascii="Arial" w:eastAsia="Times New Roman" w:hAnsi="Arial" w:cs="Arial"/>
                              <w:color w:val="DAA520"/>
                              <w:sz w:val="18"/>
                              <w:szCs w:val="18"/>
                            </w:rPr>
                            <w:t>Spletna stran za sodelovanje v razpravi</w:t>
                          </w:r>
                        </w:hyperlink>
                      </w:p>
                    </w:tc>
                  </w:tr>
                </w:tbl>
                <w:p w14:paraId="56468A14" w14:textId="77777777" w:rsidR="00673BF9" w:rsidRDefault="00673BF9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10BA7314" w14:textId="77777777" w:rsidR="00673BF9" w:rsidRDefault="00673B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D4620A8" w14:textId="77777777" w:rsidR="00673BF9" w:rsidRDefault="00673BF9" w:rsidP="00673BF9">
      <w:pPr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673BF9" w14:paraId="6BCFEB85" w14:textId="77777777" w:rsidTr="00673BF9">
        <w:trPr>
          <w:hidden/>
        </w:trPr>
        <w:tc>
          <w:tcPr>
            <w:tcW w:w="0" w:type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6" w:space="0" w:color="DAA52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86"/>
            </w:tblGrid>
            <w:tr w:rsidR="00673BF9" w14:paraId="7FC23CF9" w14:textId="77777777">
              <w:trPr>
                <w:hidden/>
              </w:trPr>
              <w:tc>
                <w:tcPr>
                  <w:tcW w:w="0" w:type="auto"/>
                  <w:tcBorders>
                    <w:top w:val="single" w:sz="6" w:space="0" w:color="DAA520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65FAED0" w14:textId="77777777" w:rsidR="00673BF9" w:rsidRDefault="00673BF9">
                  <w:pPr>
                    <w:rPr>
                      <w:rFonts w:eastAsia="Times New Roman"/>
                      <w:vanish/>
                    </w:rPr>
                  </w:pPr>
                </w:p>
              </w:tc>
            </w:tr>
          </w:tbl>
          <w:p w14:paraId="59AA0D5F" w14:textId="77777777" w:rsidR="00673BF9" w:rsidRDefault="00673B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28B50BE" w14:textId="77777777" w:rsidR="00673BF9" w:rsidRDefault="00673BF9" w:rsidP="00673BF9">
      <w:pPr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673BF9" w14:paraId="3403F423" w14:textId="77777777" w:rsidTr="00673BF9">
        <w:tc>
          <w:tcPr>
            <w:tcW w:w="0" w:type="auto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13"/>
              <w:gridCol w:w="4513"/>
            </w:tblGrid>
            <w:tr w:rsidR="00673BF9" w14:paraId="11929ADD" w14:textId="77777777">
              <w:tc>
                <w:tcPr>
                  <w:tcW w:w="4500" w:type="dxa"/>
                  <w:hideMark/>
                </w:tcPr>
                <w:tbl>
                  <w:tblPr>
                    <w:tblpPr w:leftFromText="45" w:rightFromText="45" w:vertAnchor="text"/>
                    <w:tblW w:w="45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13"/>
                  </w:tblGrid>
                  <w:tr w:rsidR="00673BF9" w14:paraId="6272F3B2" w14:textId="77777777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14:paraId="55A55393" w14:textId="2E4EBBDA" w:rsidR="00673BF9" w:rsidRDefault="00673BF9">
                        <w:pPr>
                          <w:pStyle w:val="Heading3"/>
                          <w:rPr>
                            <w:rFonts w:eastAsia="Times New Roman"/>
                            <w:lang w:val="en-BE"/>
                          </w:rPr>
                        </w:pPr>
                        <w:r>
                          <w:rPr>
                            <w:rStyle w:val="Strong"/>
                            <w:rFonts w:eastAsia="Times New Roman"/>
                            <w:b/>
                            <w:bCs/>
                            <w:color w:val="000080"/>
                          </w:rPr>
                          <w:t>Rezultati ankete o poslovanju podjetij v območju evra od aprila do septembra</w:t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 wp14:anchorId="02BCCF46" wp14:editId="7DF80117">
                              <wp:extent cx="2540000" cy="1022350"/>
                              <wp:effectExtent l="0" t="0" r="0" b="6350"/>
                              <wp:docPr id="50" name="Picture 5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40000" cy="1022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42842457" w14:textId="77777777" w:rsidR="00673BF9" w:rsidRDefault="00673BF9">
                        <w:pPr>
                          <w:spacing w:line="360" w:lineRule="auto"/>
                          <w:jc w:val="both"/>
                          <w:rPr>
                            <w:rFonts w:ascii="Helvetica" w:eastAsia="Times New Roman" w:hAnsi="Helvetica" w:cs="Helvetica"/>
                            <w:color w:val="606060"/>
                            <w:sz w:val="23"/>
                            <w:szCs w:val="23"/>
                          </w:rPr>
                        </w:pPr>
                        <w:r>
                          <w:rPr>
                            <w:rStyle w:val="Strong"/>
                            <w:rFonts w:ascii="Arial" w:eastAsia="Times New Roman" w:hAnsi="Arial" w:cs="Arial"/>
                            <w:color w:val="606060"/>
                            <w:sz w:val="18"/>
                            <w:szCs w:val="18"/>
                          </w:rPr>
                          <w:t xml:space="preserve">Mala in srednja podjetja v območju z evrom poročajo, da se jim je v obdobju od aprila do septembra močno zmanjšal promet, med najmanj problematičnimi zadevami pa je dostop do virov financiranja, ugotavlja </w:t>
                        </w:r>
                        <w:r>
                          <w:rPr>
                            <w:rStyle w:val="Strong"/>
                            <w:rFonts w:ascii="Arial" w:eastAsia="Times New Roman" w:hAnsi="Arial" w:cs="Arial"/>
                            <w:color w:val="606060"/>
                            <w:sz w:val="18"/>
                            <w:szCs w:val="18"/>
                          </w:rPr>
                          <w:lastRenderedPageBreak/>
                          <w:t>Evropska centralna banka (ECB).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606060"/>
                            <w:sz w:val="18"/>
                            <w:szCs w:val="18"/>
                          </w:rPr>
                          <w:br/>
                        </w:r>
                        <w:r>
                          <w:rPr>
                            <w:rStyle w:val="Strong"/>
                            <w:rFonts w:ascii="Arial" w:eastAsia="Times New Roman" w:hAnsi="Arial" w:cs="Arial"/>
                            <w:color w:val="606060"/>
                            <w:sz w:val="18"/>
                            <w:szCs w:val="18"/>
                          </w:rPr>
                          <w:t> 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606060"/>
                            <w:sz w:val="18"/>
                            <w:szCs w:val="18"/>
                          </w:rPr>
                          <w:br/>
                        </w:r>
                        <w:r>
                          <w:rPr>
                            <w:rStyle w:val="Strong"/>
                            <w:rFonts w:ascii="Arial" w:eastAsia="Times New Roman" w:hAnsi="Arial" w:cs="Arial"/>
                            <w:color w:val="606060"/>
                            <w:sz w:val="18"/>
                            <w:szCs w:val="18"/>
                          </w:rPr>
                          <w:t>Več: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606060"/>
                            <w:sz w:val="18"/>
                            <w:szCs w:val="18"/>
                          </w:rPr>
                          <w:br/>
                        </w:r>
                        <w:hyperlink r:id="rId11" w:history="1">
                          <w:r>
                            <w:rPr>
                              <w:rStyle w:val="Hyperlink"/>
                              <w:rFonts w:ascii="Arial" w:eastAsia="Times New Roman" w:hAnsi="Arial" w:cs="Arial"/>
                              <w:color w:val="DAA520"/>
                              <w:sz w:val="18"/>
                              <w:szCs w:val="18"/>
                            </w:rPr>
                            <w:t>Poročilo</w:t>
                          </w:r>
                        </w:hyperlink>
                      </w:p>
                    </w:tc>
                  </w:tr>
                </w:tbl>
                <w:p w14:paraId="6EFBE88D" w14:textId="77777777" w:rsidR="00673BF9" w:rsidRDefault="00673BF9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0" w:type="dxa"/>
                  <w:hideMark/>
                </w:tcPr>
                <w:tbl>
                  <w:tblPr>
                    <w:tblpPr w:leftFromText="45" w:rightFromText="45" w:vertAnchor="text"/>
                    <w:tblW w:w="45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13"/>
                  </w:tblGrid>
                  <w:tr w:rsidR="00673BF9" w14:paraId="4D980030" w14:textId="77777777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14:paraId="511550D9" w14:textId="77777777" w:rsidR="00673BF9" w:rsidRDefault="00673BF9">
                        <w:pPr>
                          <w:pStyle w:val="Heading3"/>
                          <w:rPr>
                            <w:rFonts w:eastAsia="Times New Roman"/>
                          </w:rPr>
                        </w:pPr>
                        <w:r>
                          <w:rPr>
                            <w:rStyle w:val="Strong"/>
                            <w:rFonts w:eastAsia="Times New Roman"/>
                            <w:b/>
                            <w:bCs/>
                            <w:color w:val="000080"/>
                          </w:rPr>
                          <w:lastRenderedPageBreak/>
                          <w:t>Javno posvetovanje o znižanju stroškov za postavitev omrežij visokih hitrosti</w:t>
                        </w:r>
                      </w:p>
                      <w:p w14:paraId="39CB76C4" w14:textId="7982AA5F" w:rsidR="00673BF9" w:rsidRDefault="00673BF9">
                        <w:pPr>
                          <w:spacing w:line="360" w:lineRule="auto"/>
                          <w:jc w:val="both"/>
                          <w:rPr>
                            <w:rFonts w:ascii="Helvetica" w:eastAsia="Times New Roman" w:hAnsi="Helvetica" w:cs="Helvetica"/>
                            <w:color w:val="60606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noProof/>
                            <w:color w:val="606060"/>
                            <w:sz w:val="23"/>
                            <w:szCs w:val="23"/>
                          </w:rPr>
                          <w:drawing>
                            <wp:inline distT="0" distB="0" distL="0" distR="0" wp14:anchorId="20685080" wp14:editId="0329E6AA">
                              <wp:extent cx="2540000" cy="1022350"/>
                              <wp:effectExtent l="0" t="0" r="0" b="6350"/>
                              <wp:docPr id="49" name="Picture 4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40000" cy="1022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Helvetica" w:eastAsia="Times New Roman" w:hAnsi="Helvetica" w:cs="Helvetica"/>
                            <w:color w:val="606060"/>
                            <w:sz w:val="23"/>
                            <w:szCs w:val="23"/>
                          </w:rPr>
                          <w:br/>
                        </w:r>
                        <w:r>
                          <w:rPr>
                            <w:rStyle w:val="Strong"/>
                            <w:rFonts w:ascii="Arial" w:eastAsia="Times New Roman" w:hAnsi="Arial" w:cs="Arial"/>
                            <w:color w:val="606060"/>
                            <w:sz w:val="18"/>
                            <w:szCs w:val="18"/>
                          </w:rPr>
                          <w:t xml:space="preserve">Evropska komisija prek javnega posvetovanja do 2. marca 2021 zbira mnenja in predloge, ali bi bilo treba spremeniti oziroma dopolniti direktivo o ukrepih za znižanje stroškov za postavitev elektronskih komunikacijskih </w:t>
                        </w:r>
                        <w:r>
                          <w:rPr>
                            <w:rStyle w:val="Strong"/>
                            <w:rFonts w:ascii="Arial" w:eastAsia="Times New Roman" w:hAnsi="Arial" w:cs="Arial"/>
                            <w:color w:val="606060"/>
                            <w:sz w:val="18"/>
                            <w:szCs w:val="18"/>
                          </w:rPr>
                          <w:lastRenderedPageBreak/>
                          <w:t>omrežij visokih hitrosti.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606060"/>
                            <w:sz w:val="18"/>
                            <w:szCs w:val="18"/>
                          </w:rPr>
                          <w:br/>
                        </w:r>
                        <w:r>
                          <w:rPr>
                            <w:rStyle w:val="Strong"/>
                            <w:rFonts w:ascii="Arial" w:eastAsia="Times New Roman" w:hAnsi="Arial" w:cs="Arial"/>
                            <w:color w:val="606060"/>
                            <w:sz w:val="18"/>
                            <w:szCs w:val="18"/>
                          </w:rPr>
                          <w:t> 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606060"/>
                            <w:sz w:val="18"/>
                            <w:szCs w:val="18"/>
                          </w:rPr>
                          <w:br/>
                        </w:r>
                        <w:r>
                          <w:rPr>
                            <w:rStyle w:val="Strong"/>
                            <w:rFonts w:ascii="Arial" w:eastAsia="Times New Roman" w:hAnsi="Arial" w:cs="Arial"/>
                            <w:color w:val="606060"/>
                            <w:sz w:val="18"/>
                            <w:szCs w:val="18"/>
                          </w:rPr>
                          <w:t>Več: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606060"/>
                            <w:sz w:val="18"/>
                            <w:szCs w:val="18"/>
                          </w:rPr>
                          <w:br/>
                        </w:r>
                        <w:hyperlink r:id="rId13" w:history="1">
                          <w:r>
                            <w:rPr>
                              <w:rStyle w:val="Hyperlink"/>
                              <w:rFonts w:ascii="Arial" w:eastAsia="Times New Roman" w:hAnsi="Arial" w:cs="Arial"/>
                              <w:color w:val="DAA520"/>
                              <w:sz w:val="18"/>
                              <w:szCs w:val="18"/>
                            </w:rPr>
                            <w:t>Spletna stran posvetovanja</w:t>
                          </w:r>
                        </w:hyperlink>
                      </w:p>
                    </w:tc>
                  </w:tr>
                </w:tbl>
                <w:p w14:paraId="5B4C1A1C" w14:textId="77777777" w:rsidR="00673BF9" w:rsidRDefault="00673BF9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404BB8F9" w14:textId="77777777" w:rsidR="00673BF9" w:rsidRDefault="00673B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6B9A7BA" w14:textId="77777777" w:rsidR="00673BF9" w:rsidRDefault="00673BF9" w:rsidP="00673BF9">
      <w:pPr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673BF9" w14:paraId="5EED5FEB" w14:textId="77777777" w:rsidTr="00673BF9">
        <w:trPr>
          <w:hidden/>
        </w:trPr>
        <w:tc>
          <w:tcPr>
            <w:tcW w:w="0" w:type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6" w:space="0" w:color="DAA52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86"/>
            </w:tblGrid>
            <w:tr w:rsidR="00673BF9" w14:paraId="015970C4" w14:textId="77777777">
              <w:trPr>
                <w:hidden/>
              </w:trPr>
              <w:tc>
                <w:tcPr>
                  <w:tcW w:w="0" w:type="auto"/>
                  <w:tcBorders>
                    <w:top w:val="single" w:sz="6" w:space="0" w:color="DAA520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B644935" w14:textId="77777777" w:rsidR="00673BF9" w:rsidRDefault="00673BF9">
                  <w:pPr>
                    <w:rPr>
                      <w:rFonts w:eastAsia="Times New Roman"/>
                      <w:vanish/>
                    </w:rPr>
                  </w:pPr>
                </w:p>
              </w:tc>
            </w:tr>
          </w:tbl>
          <w:p w14:paraId="5F47C214" w14:textId="77777777" w:rsidR="00673BF9" w:rsidRDefault="00673B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38599D4" w14:textId="77777777" w:rsidR="00673BF9" w:rsidRDefault="00673BF9" w:rsidP="00673BF9">
      <w:pPr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673BF9" w14:paraId="3C618FC5" w14:textId="77777777" w:rsidTr="00673BF9">
        <w:tc>
          <w:tcPr>
            <w:tcW w:w="0" w:type="auto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13"/>
              <w:gridCol w:w="4513"/>
            </w:tblGrid>
            <w:tr w:rsidR="00673BF9" w14:paraId="002298C2" w14:textId="77777777">
              <w:tc>
                <w:tcPr>
                  <w:tcW w:w="4500" w:type="dxa"/>
                  <w:hideMark/>
                </w:tcPr>
                <w:tbl>
                  <w:tblPr>
                    <w:tblpPr w:leftFromText="45" w:rightFromText="45" w:vertAnchor="text"/>
                    <w:tblW w:w="45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13"/>
                  </w:tblGrid>
                  <w:tr w:rsidR="00673BF9" w14:paraId="7B70CFDC" w14:textId="77777777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14:paraId="476B4397" w14:textId="49C4A9BE" w:rsidR="00673BF9" w:rsidRDefault="00673BF9">
                        <w:pPr>
                          <w:pStyle w:val="Heading3"/>
                          <w:rPr>
                            <w:rFonts w:eastAsia="Times New Roman"/>
                            <w:lang w:val="en-BE"/>
                          </w:rPr>
                        </w:pPr>
                        <w:r>
                          <w:rPr>
                            <w:rStyle w:val="Strong"/>
                            <w:rFonts w:eastAsia="Times New Roman"/>
                            <w:b/>
                            <w:bCs/>
                            <w:color w:val="000080"/>
                          </w:rPr>
                          <w:t>Sprejet je akcijski načrt o zaščiti intelektualne lastnine</w:t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 wp14:anchorId="5CE50E73" wp14:editId="19D6353A">
                              <wp:extent cx="2540000" cy="1022350"/>
                              <wp:effectExtent l="0" t="0" r="0" b="6350"/>
                              <wp:docPr id="48" name="Picture 4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40000" cy="1022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790CCF12" w14:textId="77777777" w:rsidR="00673BF9" w:rsidRDefault="00673BF9">
                        <w:pPr>
                          <w:spacing w:line="360" w:lineRule="auto"/>
                          <w:jc w:val="both"/>
                          <w:rPr>
                            <w:rFonts w:ascii="Helvetica" w:eastAsia="Times New Roman" w:hAnsi="Helvetica" w:cs="Helvetica"/>
                            <w:color w:val="606060"/>
                            <w:sz w:val="23"/>
                            <w:szCs w:val="23"/>
                          </w:rPr>
                        </w:pPr>
                        <w:r>
                          <w:rPr>
                            <w:rStyle w:val="Strong"/>
                            <w:rFonts w:ascii="Helvetica" w:eastAsia="Times New Roman" w:hAnsi="Helvetica" w:cs="Helvetica"/>
                            <w:color w:val="606060"/>
                            <w:sz w:val="18"/>
                            <w:szCs w:val="18"/>
                          </w:rPr>
                          <w:t>Evropska komisija je sprejela nov načrt za zaščito intelektualne lastnine, v katerem navaja pet ključnih področij za izboljšanje zaščite v prihodnjih letih.</w:t>
                        </w:r>
                        <w:r>
                          <w:rPr>
                            <w:rFonts w:ascii="Helvetica" w:eastAsia="Times New Roman" w:hAnsi="Helvetica" w:cs="Helvetica"/>
                            <w:b/>
                            <w:bCs/>
                            <w:color w:val="606060"/>
                            <w:sz w:val="18"/>
                            <w:szCs w:val="18"/>
                          </w:rPr>
                          <w:br/>
                        </w:r>
                        <w:r>
                          <w:rPr>
                            <w:rStyle w:val="Strong"/>
                            <w:rFonts w:ascii="Helvetica" w:eastAsia="Times New Roman" w:hAnsi="Helvetica" w:cs="Helvetica"/>
                            <w:color w:val="606060"/>
                            <w:sz w:val="18"/>
                            <w:szCs w:val="18"/>
                          </w:rPr>
                          <w:t> </w:t>
                        </w:r>
                        <w:r>
                          <w:rPr>
                            <w:rFonts w:ascii="Helvetica" w:eastAsia="Times New Roman" w:hAnsi="Helvetica" w:cs="Helvetica"/>
                            <w:b/>
                            <w:bCs/>
                            <w:color w:val="606060"/>
                            <w:sz w:val="18"/>
                            <w:szCs w:val="18"/>
                          </w:rPr>
                          <w:br/>
                        </w:r>
                        <w:r>
                          <w:rPr>
                            <w:rStyle w:val="Strong"/>
                            <w:rFonts w:ascii="Helvetica" w:eastAsia="Times New Roman" w:hAnsi="Helvetica" w:cs="Helvetica"/>
                            <w:color w:val="606060"/>
                            <w:sz w:val="18"/>
                            <w:szCs w:val="18"/>
                          </w:rPr>
                          <w:t>Več:</w:t>
                        </w:r>
                        <w:r>
                          <w:rPr>
                            <w:rFonts w:ascii="Helvetica" w:eastAsia="Times New Roman" w:hAnsi="Helvetica" w:cs="Helvetica"/>
                            <w:b/>
                            <w:bCs/>
                            <w:color w:val="606060"/>
                            <w:sz w:val="18"/>
                            <w:szCs w:val="18"/>
                          </w:rPr>
                          <w:br/>
                        </w:r>
                        <w:hyperlink r:id="rId15" w:history="1">
                          <w:r>
                            <w:rPr>
                              <w:rStyle w:val="Hyperlink"/>
                              <w:rFonts w:eastAsia="Times New Roman"/>
                              <w:color w:val="DAA520"/>
                              <w:sz w:val="18"/>
                              <w:szCs w:val="18"/>
                            </w:rPr>
                            <w:t>Akcijski načrt</w:t>
                          </w:r>
                        </w:hyperlink>
                      </w:p>
                    </w:tc>
                  </w:tr>
                </w:tbl>
                <w:p w14:paraId="31E32189" w14:textId="77777777" w:rsidR="00673BF9" w:rsidRDefault="00673BF9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0" w:type="dxa"/>
                  <w:hideMark/>
                </w:tcPr>
                <w:tbl>
                  <w:tblPr>
                    <w:tblpPr w:leftFromText="45" w:rightFromText="45" w:vertAnchor="text"/>
                    <w:tblW w:w="45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13"/>
                  </w:tblGrid>
                  <w:tr w:rsidR="00673BF9" w14:paraId="1CCC6350" w14:textId="77777777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14:paraId="718A4CEC" w14:textId="77777777" w:rsidR="00673BF9" w:rsidRDefault="00673BF9">
                        <w:pPr>
                          <w:pStyle w:val="Heading3"/>
                          <w:rPr>
                            <w:rFonts w:eastAsia="Times New Roman"/>
                          </w:rPr>
                        </w:pPr>
                        <w:r>
                          <w:rPr>
                            <w:rStyle w:val="Strong"/>
                            <w:rFonts w:eastAsia="Times New Roman"/>
                            <w:b/>
                            <w:bCs/>
                            <w:color w:val="000080"/>
                          </w:rPr>
                          <w:t>Podjetja nameravajo zaradi pandemije manj investirati, je pokazala anketa banke EIB</w:t>
                        </w:r>
                      </w:p>
                      <w:p w14:paraId="61B5F6DD" w14:textId="7ECC16F7" w:rsidR="00673BF9" w:rsidRDefault="00673BF9">
                        <w:pPr>
                          <w:spacing w:line="360" w:lineRule="auto"/>
                          <w:jc w:val="both"/>
                          <w:rPr>
                            <w:rFonts w:ascii="Helvetica" w:eastAsia="Times New Roman" w:hAnsi="Helvetica" w:cs="Helvetica"/>
                            <w:color w:val="60606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noProof/>
                            <w:color w:val="606060"/>
                            <w:sz w:val="18"/>
                            <w:szCs w:val="18"/>
                          </w:rPr>
                          <w:drawing>
                            <wp:inline distT="0" distB="0" distL="0" distR="0" wp14:anchorId="5A683B5A" wp14:editId="111F74AF">
                              <wp:extent cx="2540000" cy="1022350"/>
                              <wp:effectExtent l="0" t="0" r="0" b="6350"/>
                              <wp:docPr id="47" name="Picture 4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40000" cy="1022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606060"/>
                            <w:sz w:val="18"/>
                            <w:szCs w:val="18"/>
                          </w:rPr>
                          <w:br/>
                        </w:r>
                        <w:r>
                          <w:rPr>
                            <w:rStyle w:val="Strong"/>
                            <w:rFonts w:ascii="Arial" w:eastAsia="Times New Roman" w:hAnsi="Arial" w:cs="Arial"/>
                            <w:color w:val="606060"/>
                            <w:sz w:val="18"/>
                            <w:szCs w:val="18"/>
                          </w:rPr>
                          <w:t>Da bodo v tekočem finančnem letu zaradi pandemije novega koronavirusa manj investirala, kot so nameravala, je v anketi Evropske investicijske banke (EIB) odgovorilo 45 odstotkov podjetij. Kot glavno dolgoročno posledico pandemije je 50 odstotkov podjetij navedlo povečanje rabe digitalnih tehnologij.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606060"/>
                            <w:sz w:val="18"/>
                            <w:szCs w:val="18"/>
                          </w:rPr>
                          <w:br/>
                        </w:r>
                        <w:r>
                          <w:rPr>
                            <w:rStyle w:val="Strong"/>
                            <w:rFonts w:ascii="Arial" w:eastAsia="Times New Roman" w:hAnsi="Arial" w:cs="Arial"/>
                            <w:color w:val="606060"/>
                            <w:sz w:val="18"/>
                            <w:szCs w:val="18"/>
                          </w:rPr>
                          <w:t> 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606060"/>
                            <w:sz w:val="18"/>
                            <w:szCs w:val="18"/>
                          </w:rPr>
                          <w:br/>
                        </w:r>
                        <w:r>
                          <w:rPr>
                            <w:rStyle w:val="Strong"/>
                            <w:rFonts w:ascii="Arial" w:eastAsia="Times New Roman" w:hAnsi="Arial" w:cs="Arial"/>
                            <w:color w:val="606060"/>
                            <w:sz w:val="18"/>
                            <w:szCs w:val="18"/>
                          </w:rPr>
                          <w:t>Več: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606060"/>
                            <w:sz w:val="18"/>
                            <w:szCs w:val="18"/>
                          </w:rPr>
                          <w:br/>
                        </w:r>
                        <w:hyperlink r:id="rId17" w:history="1">
                          <w:r>
                            <w:rPr>
                              <w:rStyle w:val="Hyperlink"/>
                              <w:rFonts w:ascii="Arial" w:eastAsia="Times New Roman" w:hAnsi="Arial" w:cs="Arial"/>
                              <w:color w:val="DAA520"/>
                              <w:sz w:val="18"/>
                              <w:szCs w:val="18"/>
                            </w:rPr>
                            <w:t>Rezultati ankete</w:t>
                          </w:r>
                        </w:hyperlink>
                      </w:p>
                    </w:tc>
                  </w:tr>
                </w:tbl>
                <w:p w14:paraId="680AC489" w14:textId="77777777" w:rsidR="00673BF9" w:rsidRDefault="00673BF9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4A4B0DE9" w14:textId="77777777" w:rsidR="00673BF9" w:rsidRDefault="00673B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5D53E8E" w14:textId="77777777" w:rsidR="00673BF9" w:rsidRDefault="00673BF9" w:rsidP="00673BF9">
      <w:pPr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673BF9" w14:paraId="1C257CD3" w14:textId="77777777" w:rsidTr="00673BF9">
        <w:trPr>
          <w:hidden/>
        </w:trPr>
        <w:tc>
          <w:tcPr>
            <w:tcW w:w="0" w:type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6" w:space="0" w:color="DAA52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86"/>
            </w:tblGrid>
            <w:tr w:rsidR="00673BF9" w14:paraId="44DD6B81" w14:textId="77777777">
              <w:trPr>
                <w:hidden/>
              </w:trPr>
              <w:tc>
                <w:tcPr>
                  <w:tcW w:w="0" w:type="auto"/>
                  <w:tcBorders>
                    <w:top w:val="single" w:sz="6" w:space="0" w:color="DAA520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0CD73B9" w14:textId="77777777" w:rsidR="00673BF9" w:rsidRDefault="00673BF9">
                  <w:pPr>
                    <w:rPr>
                      <w:rFonts w:eastAsia="Times New Roman"/>
                      <w:vanish/>
                    </w:rPr>
                  </w:pPr>
                </w:p>
              </w:tc>
            </w:tr>
          </w:tbl>
          <w:p w14:paraId="7D7211E5" w14:textId="77777777" w:rsidR="00673BF9" w:rsidRDefault="00673B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5325D3A" w14:textId="77777777" w:rsidR="00673BF9" w:rsidRDefault="00673BF9" w:rsidP="00673BF9">
      <w:pPr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673BF9" w14:paraId="6E07F055" w14:textId="77777777" w:rsidTr="00673BF9">
        <w:tc>
          <w:tcPr>
            <w:tcW w:w="0" w:type="auto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13"/>
              <w:gridCol w:w="4513"/>
            </w:tblGrid>
            <w:tr w:rsidR="00673BF9" w14:paraId="502F194C" w14:textId="77777777">
              <w:tc>
                <w:tcPr>
                  <w:tcW w:w="4500" w:type="dxa"/>
                  <w:hideMark/>
                </w:tcPr>
                <w:tbl>
                  <w:tblPr>
                    <w:tblpPr w:leftFromText="45" w:rightFromText="45" w:vertAnchor="text"/>
                    <w:tblW w:w="45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13"/>
                  </w:tblGrid>
                  <w:tr w:rsidR="00673BF9" w14:paraId="235217D0" w14:textId="77777777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14:paraId="582F6B36" w14:textId="2F5D65E8" w:rsidR="00673BF9" w:rsidRDefault="00673BF9">
                        <w:pPr>
                          <w:pStyle w:val="Heading3"/>
                          <w:rPr>
                            <w:rFonts w:eastAsia="Times New Roman"/>
                            <w:lang w:val="en-BE"/>
                          </w:rPr>
                        </w:pPr>
                        <w:r>
                          <w:rPr>
                            <w:rStyle w:val="Strong"/>
                            <w:rFonts w:eastAsia="Times New Roman"/>
                            <w:b/>
                            <w:bCs/>
                            <w:color w:val="000080"/>
                          </w:rPr>
                          <w:t>Sodba o napotitvi delavcev na delo v okviru opravljanja storitev</w:t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 wp14:anchorId="6BB9C2E9" wp14:editId="4639B83A">
                              <wp:extent cx="2540000" cy="1022350"/>
                              <wp:effectExtent l="0" t="0" r="0" b="6350"/>
                              <wp:docPr id="46" name="Picture 4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40000" cy="1022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2E30DB19" w14:textId="77777777" w:rsidR="00673BF9" w:rsidRDefault="00673BF9">
                        <w:pPr>
                          <w:spacing w:line="360" w:lineRule="auto"/>
                          <w:jc w:val="both"/>
                          <w:rPr>
                            <w:rFonts w:ascii="Helvetica" w:eastAsia="Times New Roman" w:hAnsi="Helvetica" w:cs="Helvetica"/>
                            <w:color w:val="606060"/>
                            <w:sz w:val="23"/>
                            <w:szCs w:val="23"/>
                          </w:rPr>
                        </w:pPr>
                        <w:r>
                          <w:rPr>
                            <w:rStyle w:val="Strong"/>
                            <w:rFonts w:ascii="Arial" w:eastAsia="Times New Roman" w:hAnsi="Arial" w:cs="Arial"/>
                            <w:color w:val="606060"/>
                            <w:sz w:val="18"/>
                            <w:szCs w:val="18"/>
                          </w:rPr>
                          <w:t>Direktiva o napotitvi delavcev na delo v okviru opravljanja storitev se uporablja za čezmejno opravljanje storitev v sektorju cestnega prevoza, je odločilo Sodišče EU.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606060"/>
                            <w:sz w:val="18"/>
                            <w:szCs w:val="18"/>
                          </w:rPr>
                          <w:br/>
                        </w:r>
                        <w:r>
                          <w:rPr>
                            <w:rStyle w:val="Strong"/>
                            <w:rFonts w:ascii="Arial" w:eastAsia="Times New Roman" w:hAnsi="Arial" w:cs="Arial"/>
                            <w:color w:val="606060"/>
                            <w:sz w:val="18"/>
                            <w:szCs w:val="18"/>
                          </w:rPr>
                          <w:t> 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606060"/>
                            <w:sz w:val="18"/>
                            <w:szCs w:val="18"/>
                          </w:rPr>
                          <w:br/>
                        </w:r>
                        <w:r>
                          <w:rPr>
                            <w:rStyle w:val="Strong"/>
                            <w:rFonts w:ascii="Arial" w:eastAsia="Times New Roman" w:hAnsi="Arial" w:cs="Arial"/>
                            <w:color w:val="606060"/>
                            <w:sz w:val="18"/>
                            <w:szCs w:val="18"/>
                          </w:rPr>
                          <w:t>Več: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606060"/>
                            <w:sz w:val="18"/>
                            <w:szCs w:val="18"/>
                          </w:rPr>
                          <w:br/>
                        </w:r>
                        <w:hyperlink r:id="rId19" w:history="1">
                          <w:r>
                            <w:rPr>
                              <w:rStyle w:val="Hyperlink"/>
                              <w:rFonts w:ascii="Arial" w:eastAsia="Times New Roman" w:hAnsi="Arial" w:cs="Arial"/>
                              <w:color w:val="DAA520"/>
                              <w:sz w:val="18"/>
                              <w:szCs w:val="18"/>
                            </w:rPr>
                            <w:t>Sodba</w:t>
                          </w:r>
                        </w:hyperlink>
                      </w:p>
                    </w:tc>
                  </w:tr>
                </w:tbl>
                <w:p w14:paraId="1F685637" w14:textId="77777777" w:rsidR="00673BF9" w:rsidRDefault="00673BF9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0" w:type="dxa"/>
                  <w:hideMark/>
                </w:tcPr>
                <w:tbl>
                  <w:tblPr>
                    <w:tblpPr w:leftFromText="45" w:rightFromText="45" w:vertAnchor="text"/>
                    <w:tblW w:w="45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13"/>
                  </w:tblGrid>
                  <w:tr w:rsidR="00673BF9" w14:paraId="06E1FA0A" w14:textId="77777777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14:paraId="00C032AF" w14:textId="77777777" w:rsidR="00673BF9" w:rsidRDefault="00673BF9">
                        <w:pPr>
                          <w:pStyle w:val="Heading3"/>
                          <w:rPr>
                            <w:rFonts w:eastAsia="Times New Roman"/>
                          </w:rPr>
                        </w:pPr>
                        <w:r>
                          <w:rPr>
                            <w:rStyle w:val="Strong"/>
                            <w:rFonts w:eastAsia="Times New Roman"/>
                            <w:b/>
                            <w:bCs/>
                            <w:color w:val="000080"/>
                          </w:rPr>
                          <w:t>Sodba Sodišča EU o taksi storitvah prek elektronske aplikacije</w:t>
                        </w:r>
                      </w:p>
                      <w:p w14:paraId="6865079D" w14:textId="6C4D2AA8" w:rsidR="00673BF9" w:rsidRDefault="00673BF9">
                        <w:pPr>
                          <w:spacing w:line="360" w:lineRule="auto"/>
                          <w:jc w:val="both"/>
                          <w:rPr>
                            <w:rFonts w:ascii="Helvetica" w:eastAsia="Times New Roman" w:hAnsi="Helvetica" w:cs="Helvetica"/>
                            <w:color w:val="60606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noProof/>
                            <w:color w:val="606060"/>
                            <w:sz w:val="18"/>
                            <w:szCs w:val="18"/>
                          </w:rPr>
                          <w:drawing>
                            <wp:inline distT="0" distB="0" distL="0" distR="0" wp14:anchorId="50774EF8" wp14:editId="5D38EF9C">
                              <wp:extent cx="2540000" cy="1022350"/>
                              <wp:effectExtent l="0" t="0" r="0" b="6350"/>
                              <wp:docPr id="45" name="Picture 4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40000" cy="1022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606060"/>
                            <w:sz w:val="18"/>
                            <w:szCs w:val="18"/>
                          </w:rPr>
                          <w:br/>
                        </w:r>
                        <w:r>
                          <w:rPr>
                            <w:rStyle w:val="Strong"/>
                            <w:rFonts w:ascii="Arial" w:eastAsia="Times New Roman" w:hAnsi="Arial" w:cs="Arial"/>
                            <w:color w:val="606060"/>
                            <w:sz w:val="18"/>
                            <w:szCs w:val="18"/>
                          </w:rPr>
                          <w:t>Storitev, s katero se stranke prek elektronske aplikacije neposredno povezujejo z vozniki taksija, je storitev informacijske družbe, kadar ni sestavni del celotne storitve, katere glavni element je opravljanje prevoza, je razsodilo Sodišče EU.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606060"/>
                            <w:sz w:val="18"/>
                            <w:szCs w:val="18"/>
                          </w:rPr>
                          <w:br/>
                        </w:r>
                        <w:r>
                          <w:rPr>
                            <w:rStyle w:val="Strong"/>
                            <w:rFonts w:ascii="Arial" w:eastAsia="Times New Roman" w:hAnsi="Arial" w:cs="Arial"/>
                            <w:color w:val="606060"/>
                            <w:sz w:val="18"/>
                            <w:szCs w:val="18"/>
                          </w:rPr>
                          <w:t> 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606060"/>
                            <w:sz w:val="18"/>
                            <w:szCs w:val="18"/>
                          </w:rPr>
                          <w:br/>
                        </w:r>
                        <w:r>
                          <w:rPr>
                            <w:rStyle w:val="Strong"/>
                            <w:rFonts w:ascii="Arial" w:eastAsia="Times New Roman" w:hAnsi="Arial" w:cs="Arial"/>
                            <w:color w:val="606060"/>
                            <w:sz w:val="18"/>
                            <w:szCs w:val="18"/>
                          </w:rPr>
                          <w:lastRenderedPageBreak/>
                          <w:t>Več: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606060"/>
                            <w:sz w:val="18"/>
                            <w:szCs w:val="18"/>
                          </w:rPr>
                          <w:br/>
                        </w:r>
                        <w:hyperlink r:id="rId21" w:history="1">
                          <w:r>
                            <w:rPr>
                              <w:rStyle w:val="Hyperlink"/>
                              <w:rFonts w:ascii="Arial" w:eastAsia="Times New Roman" w:hAnsi="Arial" w:cs="Arial"/>
                              <w:color w:val="DAA520"/>
                              <w:sz w:val="18"/>
                              <w:szCs w:val="18"/>
                            </w:rPr>
                            <w:t>Sodba</w:t>
                          </w:r>
                        </w:hyperlink>
                      </w:p>
                    </w:tc>
                  </w:tr>
                </w:tbl>
                <w:p w14:paraId="26421512" w14:textId="77777777" w:rsidR="00673BF9" w:rsidRDefault="00673BF9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39EA5692" w14:textId="77777777" w:rsidR="00673BF9" w:rsidRDefault="00673B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19BF027" w14:textId="77777777" w:rsidR="00673BF9" w:rsidRDefault="00673BF9" w:rsidP="00673BF9">
      <w:pPr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673BF9" w14:paraId="21E6CE0C" w14:textId="77777777" w:rsidTr="00673BF9">
        <w:trPr>
          <w:hidden/>
        </w:trPr>
        <w:tc>
          <w:tcPr>
            <w:tcW w:w="0" w:type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6" w:space="0" w:color="DAA52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86"/>
            </w:tblGrid>
            <w:tr w:rsidR="00673BF9" w14:paraId="6C3C28E0" w14:textId="77777777">
              <w:trPr>
                <w:hidden/>
              </w:trPr>
              <w:tc>
                <w:tcPr>
                  <w:tcW w:w="0" w:type="auto"/>
                  <w:tcBorders>
                    <w:top w:val="single" w:sz="6" w:space="0" w:color="DAA520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658EB00" w14:textId="77777777" w:rsidR="00673BF9" w:rsidRDefault="00673BF9">
                  <w:pPr>
                    <w:rPr>
                      <w:rFonts w:eastAsia="Times New Roman"/>
                      <w:vanish/>
                    </w:rPr>
                  </w:pPr>
                </w:p>
              </w:tc>
            </w:tr>
          </w:tbl>
          <w:p w14:paraId="5AF91D53" w14:textId="77777777" w:rsidR="00673BF9" w:rsidRDefault="00673B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E7B747B" w14:textId="77777777" w:rsidR="00673BF9" w:rsidRDefault="00673BF9" w:rsidP="00673BF9">
      <w:pPr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673BF9" w14:paraId="427F2AF3" w14:textId="77777777" w:rsidTr="00673BF9">
        <w:tc>
          <w:tcPr>
            <w:tcW w:w="0" w:type="auto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13"/>
              <w:gridCol w:w="4513"/>
            </w:tblGrid>
            <w:tr w:rsidR="00673BF9" w14:paraId="1F764CD1" w14:textId="77777777">
              <w:tc>
                <w:tcPr>
                  <w:tcW w:w="4500" w:type="dxa"/>
                  <w:hideMark/>
                </w:tcPr>
                <w:tbl>
                  <w:tblPr>
                    <w:tblpPr w:leftFromText="45" w:rightFromText="45" w:vertAnchor="text"/>
                    <w:tblW w:w="45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13"/>
                  </w:tblGrid>
                  <w:tr w:rsidR="00673BF9" w14:paraId="25F33BB7" w14:textId="77777777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14:paraId="51306F85" w14:textId="6F604CAF" w:rsidR="00673BF9" w:rsidRDefault="00673BF9">
                        <w:pPr>
                          <w:pStyle w:val="Heading3"/>
                          <w:rPr>
                            <w:rFonts w:eastAsia="Times New Roman"/>
                            <w:lang w:val="en-BE"/>
                          </w:rPr>
                        </w:pPr>
                        <w:r>
                          <w:rPr>
                            <w:rStyle w:val="Strong"/>
                            <w:rFonts w:eastAsia="Times New Roman"/>
                            <w:b/>
                            <w:bCs/>
                            <w:color w:val="000080"/>
                          </w:rPr>
                          <w:t>Vzpostavljeno je vozlišče Digital4Development (D4D)</w:t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 wp14:anchorId="0C1D5058" wp14:editId="60F69934">
                              <wp:extent cx="2540000" cy="1022350"/>
                              <wp:effectExtent l="0" t="0" r="0" b="6350"/>
                              <wp:docPr id="44" name="Picture 4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40000" cy="1022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4A331D2E" w14:textId="77777777" w:rsidR="00673BF9" w:rsidRDefault="00673BF9">
                        <w:pPr>
                          <w:spacing w:line="360" w:lineRule="auto"/>
                          <w:jc w:val="both"/>
                          <w:rPr>
                            <w:rFonts w:ascii="Helvetica" w:eastAsia="Times New Roman" w:hAnsi="Helvetica" w:cs="Helvetica"/>
                            <w:color w:val="606060"/>
                            <w:sz w:val="23"/>
                            <w:szCs w:val="23"/>
                          </w:rPr>
                        </w:pPr>
                        <w:r>
                          <w:rPr>
                            <w:rStyle w:val="Strong"/>
                            <w:rFonts w:ascii="Arial" w:eastAsia="Times New Roman" w:hAnsi="Arial" w:cs="Arial"/>
                            <w:color w:val="606060"/>
                            <w:sz w:val="18"/>
                            <w:szCs w:val="18"/>
                          </w:rPr>
                          <w:t>Vzpostavljeno je vozlišče Digital4Development (D4D). Cilji platforme, ki združuje ključne deležnike iz držav članic EU, zasebnega sektorja, civilne družbe in finančnih institucij, so povečanje naložb v digitalno preobrazbo partnerskih držav, spodbujanje celovitih, na vrednotah temelječih pravil za digitalno gospodarstvo in družbo po vsem svetu ter spodbujanje močnejšega in bolj strateškega sodelovanja EU v mednarodnih digitalnih partnerstvih.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606060"/>
                            <w:sz w:val="18"/>
                            <w:szCs w:val="18"/>
                          </w:rPr>
                          <w:br/>
                        </w:r>
                        <w:r>
                          <w:rPr>
                            <w:rStyle w:val="Strong"/>
                            <w:rFonts w:ascii="Arial" w:eastAsia="Times New Roman" w:hAnsi="Arial" w:cs="Arial"/>
                            <w:color w:val="606060"/>
                            <w:sz w:val="18"/>
                            <w:szCs w:val="18"/>
                          </w:rPr>
                          <w:t> 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606060"/>
                            <w:sz w:val="18"/>
                            <w:szCs w:val="18"/>
                          </w:rPr>
                          <w:br/>
                        </w:r>
                        <w:r>
                          <w:rPr>
                            <w:rStyle w:val="Strong"/>
                            <w:rFonts w:ascii="Arial" w:eastAsia="Times New Roman" w:hAnsi="Arial" w:cs="Arial"/>
                            <w:color w:val="606060"/>
                            <w:sz w:val="18"/>
                            <w:szCs w:val="18"/>
                          </w:rPr>
                          <w:t>Več: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606060"/>
                            <w:sz w:val="18"/>
                            <w:szCs w:val="18"/>
                          </w:rPr>
                          <w:br/>
                        </w:r>
                        <w:hyperlink r:id="rId23" w:history="1">
                          <w:r>
                            <w:rPr>
                              <w:rStyle w:val="Hyperlink"/>
                              <w:rFonts w:ascii="Arial" w:eastAsia="Times New Roman" w:hAnsi="Arial" w:cs="Arial"/>
                              <w:color w:val="DAA520"/>
                              <w:sz w:val="18"/>
                              <w:szCs w:val="18"/>
                            </w:rPr>
                            <w:t>Platforma</w:t>
                          </w:r>
                        </w:hyperlink>
                      </w:p>
                    </w:tc>
                  </w:tr>
                </w:tbl>
                <w:p w14:paraId="7F469253" w14:textId="77777777" w:rsidR="00673BF9" w:rsidRDefault="00673BF9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0" w:type="dxa"/>
                  <w:hideMark/>
                </w:tcPr>
                <w:tbl>
                  <w:tblPr>
                    <w:tblpPr w:leftFromText="45" w:rightFromText="45" w:vertAnchor="text"/>
                    <w:tblW w:w="45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13"/>
                  </w:tblGrid>
                  <w:tr w:rsidR="00673BF9" w14:paraId="56996761" w14:textId="77777777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14:paraId="516878DB" w14:textId="77777777" w:rsidR="00673BF9" w:rsidRDefault="00673BF9">
                        <w:pPr>
                          <w:pStyle w:val="Heading3"/>
                          <w:rPr>
                            <w:rFonts w:eastAsia="Times New Roman"/>
                          </w:rPr>
                        </w:pPr>
                        <w:r>
                          <w:rPr>
                            <w:rStyle w:val="Strong"/>
                            <w:rFonts w:eastAsia="Times New Roman"/>
                            <w:b/>
                            <w:bCs/>
                            <w:color w:val="000080"/>
                          </w:rPr>
                          <w:t>Nova pravila za primere uporabe referenčne vrednosti v finančnih instrumentih</w:t>
                        </w:r>
                      </w:p>
                      <w:p w14:paraId="2FF14965" w14:textId="76B00847" w:rsidR="00673BF9" w:rsidRDefault="00673BF9">
                        <w:pPr>
                          <w:spacing w:line="360" w:lineRule="auto"/>
                          <w:jc w:val="both"/>
                          <w:rPr>
                            <w:rFonts w:ascii="Helvetica" w:eastAsia="Times New Roman" w:hAnsi="Helvetica" w:cs="Helvetica"/>
                            <w:color w:val="60606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noProof/>
                            <w:color w:val="606060"/>
                            <w:sz w:val="18"/>
                            <w:szCs w:val="18"/>
                          </w:rPr>
                          <w:drawing>
                            <wp:inline distT="0" distB="0" distL="0" distR="0" wp14:anchorId="5BA0080C" wp14:editId="474D2C79">
                              <wp:extent cx="2540000" cy="1022350"/>
                              <wp:effectExtent l="0" t="0" r="0" b="6350"/>
                              <wp:docPr id="43" name="Picture 4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40000" cy="1022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606060"/>
                            <w:sz w:val="18"/>
                            <w:szCs w:val="18"/>
                          </w:rPr>
                          <w:br/>
                        </w:r>
                        <w:r>
                          <w:rPr>
                            <w:rStyle w:val="Strong"/>
                            <w:rFonts w:ascii="Arial" w:eastAsia="Times New Roman" w:hAnsi="Arial" w:cs="Arial"/>
                            <w:color w:val="606060"/>
                            <w:sz w:val="18"/>
                            <w:szCs w:val="18"/>
                          </w:rPr>
                          <w:t>Države članice so v okviru Sveta EU potrdile dopolnitev uredbe o indeksih, ki se uporabljajo kot referenčne vrednosti v finančnih instrumentih in finančnih pogodbah ali za merjenje uspešnosti investicijskih skladov in uredbe o izvedenih finančnih instrumentih OTC, centralnih nasprotnih strankah in repozitorijih sklenjenih poslov. Namen sprememb je vzpostaviti okvir za gladek prehod v primeru zaključka uporabe referenčnih vrednosti. Sledi se formalna potrditev v Svetu EU in Evropskem parlamentu.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606060"/>
                            <w:sz w:val="18"/>
                            <w:szCs w:val="18"/>
                          </w:rPr>
                          <w:br/>
                        </w:r>
                        <w:r>
                          <w:rPr>
                            <w:rStyle w:val="Strong"/>
                            <w:rFonts w:ascii="Arial" w:eastAsia="Times New Roman" w:hAnsi="Arial" w:cs="Arial"/>
                            <w:color w:val="606060"/>
                            <w:sz w:val="18"/>
                            <w:szCs w:val="18"/>
                          </w:rPr>
                          <w:t> 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606060"/>
                            <w:sz w:val="18"/>
                            <w:szCs w:val="18"/>
                          </w:rPr>
                          <w:br/>
                        </w:r>
                        <w:r>
                          <w:rPr>
                            <w:rStyle w:val="Strong"/>
                            <w:rFonts w:ascii="Arial" w:eastAsia="Times New Roman" w:hAnsi="Arial" w:cs="Arial"/>
                            <w:color w:val="606060"/>
                            <w:sz w:val="18"/>
                            <w:szCs w:val="18"/>
                          </w:rPr>
                          <w:t>Več: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606060"/>
                            <w:sz w:val="18"/>
                            <w:szCs w:val="18"/>
                          </w:rPr>
                          <w:br/>
                        </w:r>
                        <w:hyperlink r:id="rId25" w:history="1">
                          <w:r>
                            <w:rPr>
                              <w:rStyle w:val="Hyperlink"/>
                              <w:rFonts w:ascii="Arial" w:eastAsia="Times New Roman" w:hAnsi="Arial" w:cs="Arial"/>
                              <w:color w:val="DAA520"/>
                              <w:sz w:val="18"/>
                              <w:szCs w:val="18"/>
                            </w:rPr>
                            <w:t>Predlog uredbe</w:t>
                          </w:r>
                        </w:hyperlink>
                      </w:p>
                    </w:tc>
                  </w:tr>
                </w:tbl>
                <w:p w14:paraId="561FDD36" w14:textId="77777777" w:rsidR="00673BF9" w:rsidRDefault="00673BF9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186DAC7E" w14:textId="77777777" w:rsidR="00673BF9" w:rsidRDefault="00673B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E7B142B" w14:textId="501B69E3" w:rsidR="00515F0E" w:rsidRPr="00673BF9" w:rsidRDefault="00515F0E" w:rsidP="00673BF9"/>
    <w:sectPr w:rsidR="00515F0E" w:rsidRPr="00673BF9" w:rsidSect="00673BF9">
      <w:headerReference w:type="first" r:id="rId26"/>
      <w:pgSz w:w="11906" w:h="16838"/>
      <w:pgMar w:top="1440" w:right="1440" w:bottom="567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852B79" w14:textId="77777777" w:rsidR="00833DD9" w:rsidRDefault="00833DD9" w:rsidP="00515F0E">
      <w:r>
        <w:separator/>
      </w:r>
    </w:p>
  </w:endnote>
  <w:endnote w:type="continuationSeparator" w:id="0">
    <w:p w14:paraId="62F0AAC9" w14:textId="77777777" w:rsidR="00833DD9" w:rsidRDefault="00833DD9" w:rsidP="00515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0FA7B6" w14:textId="77777777" w:rsidR="00833DD9" w:rsidRDefault="00833DD9" w:rsidP="00515F0E">
      <w:r>
        <w:separator/>
      </w:r>
    </w:p>
  </w:footnote>
  <w:footnote w:type="continuationSeparator" w:id="0">
    <w:p w14:paraId="5C8EA129" w14:textId="77777777" w:rsidR="00833DD9" w:rsidRDefault="00833DD9" w:rsidP="00515F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EB3A75" w14:textId="7B00286A" w:rsidR="00515F0E" w:rsidRDefault="00673BF9" w:rsidP="00515F0E">
    <w:pPr>
      <w:pStyle w:val="Header"/>
      <w:jc w:val="center"/>
    </w:pPr>
    <w:r>
      <w:rPr>
        <w:rFonts w:eastAsia="Times New Roman"/>
        <w:noProof/>
      </w:rPr>
      <w:drawing>
        <wp:inline distT="0" distB="0" distL="0" distR="0" wp14:anchorId="5C540A5F" wp14:editId="60D2331F">
          <wp:extent cx="5372100" cy="24257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2100" cy="2425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B7D"/>
    <w:rsid w:val="00333D91"/>
    <w:rsid w:val="00515F0E"/>
    <w:rsid w:val="00673BF9"/>
    <w:rsid w:val="00681B7D"/>
    <w:rsid w:val="00775FAB"/>
    <w:rsid w:val="0081796D"/>
    <w:rsid w:val="00833DD9"/>
    <w:rsid w:val="009B3B7D"/>
    <w:rsid w:val="00D347F8"/>
    <w:rsid w:val="00D40831"/>
    <w:rsid w:val="00F4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2B7610A"/>
  <w15:chartTrackingRefBased/>
  <w15:docId w15:val="{283BF032-7C60-4AF3-8997-5674C6920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5F0E"/>
    <w:pPr>
      <w:spacing w:after="0" w:line="240" w:lineRule="auto"/>
    </w:pPr>
    <w:rPr>
      <w:rFonts w:ascii="Calibri" w:hAnsi="Calibri" w:cs="Calibri"/>
      <w:lang w:eastAsia="en-BE"/>
    </w:rPr>
  </w:style>
  <w:style w:type="paragraph" w:styleId="Heading3">
    <w:name w:val="heading 3"/>
    <w:basedOn w:val="Normal"/>
    <w:link w:val="Heading3Char"/>
    <w:uiPriority w:val="9"/>
    <w:unhideWhenUsed/>
    <w:qFormat/>
    <w:rsid w:val="00515F0E"/>
    <w:pPr>
      <w:spacing w:line="300" w:lineRule="auto"/>
      <w:outlineLvl w:val="2"/>
    </w:pPr>
    <w:rPr>
      <w:rFonts w:ascii="Helvetica" w:hAnsi="Helvetica" w:cs="Helvetica"/>
      <w:b/>
      <w:bCs/>
      <w:color w:val="606060"/>
      <w:spacing w:val="-8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15F0E"/>
    <w:rPr>
      <w:rFonts w:ascii="Helvetica" w:hAnsi="Helvetica" w:cs="Helvetica"/>
      <w:b/>
      <w:bCs/>
      <w:color w:val="606060"/>
      <w:spacing w:val="-8"/>
      <w:sz w:val="27"/>
      <w:szCs w:val="27"/>
      <w:lang w:val="en-BE" w:eastAsia="en-BE"/>
    </w:rPr>
  </w:style>
  <w:style w:type="character" w:styleId="Strong">
    <w:name w:val="Strong"/>
    <w:basedOn w:val="DefaultParagraphFont"/>
    <w:uiPriority w:val="22"/>
    <w:qFormat/>
    <w:rsid w:val="00515F0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15F0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15F0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5F0E"/>
    <w:rPr>
      <w:rFonts w:ascii="Calibri" w:hAnsi="Calibri" w:cs="Calibri"/>
      <w:lang w:val="en-BE" w:eastAsia="en-BE"/>
    </w:rPr>
  </w:style>
  <w:style w:type="paragraph" w:styleId="Footer">
    <w:name w:val="footer"/>
    <w:basedOn w:val="Normal"/>
    <w:link w:val="FooterChar"/>
    <w:uiPriority w:val="99"/>
    <w:unhideWhenUsed/>
    <w:rsid w:val="00515F0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5F0E"/>
    <w:rPr>
      <w:rFonts w:ascii="Calibri" w:hAnsi="Calibri" w:cs="Calibri"/>
      <w:lang w:val="en-BE" w:eastAsia="en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sbra.us8.list-manage.com/track/click?u=e6e6edab27aee286b10f651f9&amp;id=6e4411450a&amp;e=b881071455" TargetMode="External"/><Relationship Id="rId18" Type="http://schemas.openxmlformats.org/officeDocument/2006/relationships/image" Target="media/image7.png"/><Relationship Id="rId26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hyperlink" Target="https://sbra.us8.list-manage.com/track/click?u=e6e6edab27aee286b10f651f9&amp;id=bbc44b31e3&amp;e=b881071455" TargetMode="External"/><Relationship Id="rId7" Type="http://schemas.openxmlformats.org/officeDocument/2006/relationships/hyperlink" Target="https://sbra.us8.list-manage.com/track/click?u=e6e6edab27aee286b10f651f9&amp;id=eb11117a1d&amp;e=b881071455" TargetMode="External"/><Relationship Id="rId12" Type="http://schemas.openxmlformats.org/officeDocument/2006/relationships/image" Target="media/image4.png"/><Relationship Id="rId17" Type="http://schemas.openxmlformats.org/officeDocument/2006/relationships/hyperlink" Target="https://sbra.us8.list-manage.com/track/click?u=e6e6edab27aee286b10f651f9&amp;id=7e7f0ba984&amp;e=b881071455" TargetMode="External"/><Relationship Id="rId25" Type="http://schemas.openxmlformats.org/officeDocument/2006/relationships/hyperlink" Target="https://sbra.us8.list-manage.com/track/click?u=e6e6edab27aee286b10f651f9&amp;id=452a3e3acf&amp;e=b881071455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sbra.us8.list-manage.com/track/click?u=e6e6edab27aee286b10f651f9&amp;id=7df7744b4d&amp;e=b881071455" TargetMode="External"/><Relationship Id="rId24" Type="http://schemas.openxmlformats.org/officeDocument/2006/relationships/image" Target="media/image10.png"/><Relationship Id="rId5" Type="http://schemas.openxmlformats.org/officeDocument/2006/relationships/endnotes" Target="endnotes.xml"/><Relationship Id="rId15" Type="http://schemas.openxmlformats.org/officeDocument/2006/relationships/hyperlink" Target="https://sbra.us8.list-manage.com/track/click?u=e6e6edab27aee286b10f651f9&amp;id=9851aae39a&amp;e=b881071455" TargetMode="External"/><Relationship Id="rId23" Type="http://schemas.openxmlformats.org/officeDocument/2006/relationships/hyperlink" Target="https://sbra.us8.list-manage.com/track/click?u=e6e6edab27aee286b10f651f9&amp;id=0c30796f90&amp;e=b881071455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yperlink" Target="https://sbra.us8.list-manage.com/track/click?u=e6e6edab27aee286b10f651f9&amp;id=9a23eb6e98&amp;e=b881071455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sbra.us8.list-manage.com/track/click?u=e6e6edab27aee286b10f651f9&amp;id=954fbdedbf&amp;e=b881071455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9.png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729</Words>
  <Characters>4157</Characters>
  <Application>Microsoft Office Word</Application>
  <DocSecurity>0</DocSecurity>
  <Lines>34</Lines>
  <Paragraphs>9</Paragraphs>
  <ScaleCrop>false</ScaleCrop>
  <Company/>
  <LinksUpToDate>false</LinksUpToDate>
  <CharactersWithSpaces>4877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Bostjan Sinkovec</dc:creator>
  <cp:keywords/>
  <dc:description/>
  <cp:lastModifiedBy>Bostjan Sinkovec</cp:lastModifiedBy>
  <cp:revision>3</cp:revision>
  <dcterms:created xsi:type="dcterms:W3CDTF">2020-12-15T15:24:00Z</dcterms:created>
  <dcterms:modified xsi:type="dcterms:W3CDTF">2020-12-15T15:26:00Z</dcterms:modified>
</cp:coreProperties>
</file>