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E31A" w14:textId="46B29A25" w:rsid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Evropska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komisija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je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objavila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jesensko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gospodarsko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napoved</w:t>
      </w:r>
      <w:proofErr w:type="spellEnd"/>
    </w:p>
    <w:p w14:paraId="5F4AE8F8" w14:textId="70D1E935" w:rsidR="001E0747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06060"/>
          <w:sz w:val="18"/>
          <w:szCs w:val="18"/>
        </w:rPr>
        <w:drawing>
          <wp:inline distT="0" distB="0" distL="0" distR="0" wp14:anchorId="31FB4C39" wp14:editId="06D2F61D">
            <wp:extent cx="2540000" cy="10223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komisija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jesenski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gospodarski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napovedi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ocenjuje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da se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BDP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Sloveniji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letos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skrčil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7,1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odstotka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prihodnje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leto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pa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že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dosegel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rast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višini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5,1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odstotka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.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območje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napoveduje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da se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BDP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letos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skrčil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7,8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odstotka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prihodnje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leto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pa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dosegel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rast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višini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4,2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odstotka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7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Jesenska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gospodarska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napoved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2020</w:t>
        </w:r>
      </w:hyperlink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in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8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Napoved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za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Slovenijo</w:t>
        </w:r>
        <w:proofErr w:type="spellEnd"/>
      </w:hyperlink>
    </w:p>
    <w:p w14:paraId="3FEC8C1E" w14:textId="7777777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362BCE9B" w14:textId="49A1F27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0077F5DD" w14:textId="77777777" w:rsid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Evropska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komisija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je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odobrila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slovensko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shemo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za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podporo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samozaposlenim</w:t>
      </w:r>
      <w:proofErr w:type="spellEnd"/>
    </w:p>
    <w:p w14:paraId="151FC31B" w14:textId="079B6DDA" w:rsidR="00515F0E" w:rsidRDefault="00515F0E" w:rsidP="00515F0E">
      <w:pPr>
        <w:pStyle w:val="Heading3"/>
        <w:jc w:val="both"/>
        <w:rPr>
          <w:rFonts w:eastAsia="Times New Roman"/>
          <w:lang w:val="en-BE"/>
        </w:rPr>
      </w:pPr>
      <w:r>
        <w:rPr>
          <w:rFonts w:eastAsia="Times New Roman"/>
          <w:noProof/>
          <w:lang w:val="en-BE"/>
        </w:rPr>
        <w:drawing>
          <wp:inline distT="0" distB="0" distL="0" distR="0" wp14:anchorId="09B50470" wp14:editId="2C385180">
            <wp:extent cx="2542540" cy="1019810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F971F" w14:textId="70C82A18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komisija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odobrila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378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milijonov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vredno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slovensko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shemo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podporo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samozaposlenim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osebam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prizadel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izbruh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koronavirusa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Ukrep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naj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bi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pomagal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kot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1000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upravičencem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10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Sklep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Evropske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komisije</w:t>
        </w:r>
        <w:proofErr w:type="spellEnd"/>
      </w:hyperlink>
    </w:p>
    <w:p w14:paraId="4A03DAB2" w14:textId="10E9C1CC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72BC6E7F" w14:textId="41E7F19A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35FD9723" w14:textId="6718CDEB" w:rsid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Revizorji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EU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bodo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ocenili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,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kako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EU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podpira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turizem</w:t>
      </w:r>
      <w:proofErr w:type="spellEnd"/>
      <w:r>
        <w:rPr>
          <w:rFonts w:eastAsia="Times New Roman"/>
          <w:lang w:val="en-BE"/>
        </w:rPr>
        <w:br/>
      </w:r>
      <w:r>
        <w:rPr>
          <w:rFonts w:eastAsia="Times New Roman"/>
          <w:noProof/>
          <w:lang w:val="en-BE"/>
        </w:rPr>
        <w:drawing>
          <wp:inline distT="0" distB="0" distL="0" distR="0" wp14:anchorId="25E3FA14" wp14:editId="6807E629">
            <wp:extent cx="2542540" cy="1019810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7756" w14:textId="6023B5B3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računsko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sodišče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analizira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ali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bilo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financiranje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EU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javne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naložbe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turizem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uspešno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ali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pred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pandemijo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pomenilo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ustrezno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podporo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sektorju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ocenjuje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pa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tudi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ukrepe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EU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omejitev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negativnih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posledic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krize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zaradi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pandemije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covida-19.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12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Informacija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o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reviziji</w:t>
        </w:r>
        <w:proofErr w:type="spellEnd"/>
      </w:hyperlink>
    </w:p>
    <w:p w14:paraId="54FE7EE0" w14:textId="425631F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7FC79B5B" w14:textId="279FEEF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41C1F362" w14:textId="2B729DB4" w:rsidR="00515F0E" w:rsidRP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Objavljeni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so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novi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četrtletni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podatki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o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likvidnosti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obveznic</w:t>
      </w:r>
      <w:proofErr w:type="spellEnd"/>
    </w:p>
    <w:p w14:paraId="3D9F4BC7" w14:textId="5000B510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606060"/>
          <w:sz w:val="23"/>
          <w:szCs w:val="23"/>
        </w:rPr>
        <w:drawing>
          <wp:inline distT="0" distB="0" distL="0" distR="0" wp14:anchorId="6F23FF3A" wp14:editId="249F9242">
            <wp:extent cx="2542540" cy="101981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606060"/>
          <w:sz w:val="23"/>
          <w:szCs w:val="23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organ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vrednostne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papirje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(ESMA)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objavil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nove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četrtletne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podatke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o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likvidnosti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obveznic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katerimi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trguje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14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Sporočilo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s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povezavami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na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seznam</w:t>
        </w:r>
        <w:proofErr w:type="spellEnd"/>
      </w:hyperlink>
    </w:p>
    <w:p w14:paraId="462F0E70" w14:textId="1649C08C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266C76E1" w14:textId="2A195C2C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7A378A83" w14:textId="02B6A1C0" w:rsidR="00515F0E" w:rsidRDefault="00515F0E" w:rsidP="00515F0E">
      <w:pPr>
        <w:pStyle w:val="Heading3"/>
        <w:rPr>
          <w:rFonts w:eastAsia="Times New Roman"/>
          <w:lang w:val="en-BE"/>
        </w:rPr>
      </w:pPr>
      <w:r>
        <w:rPr>
          <w:rStyle w:val="Strong"/>
          <w:rFonts w:eastAsia="Times New Roman"/>
          <w:b/>
          <w:bCs/>
          <w:color w:val="000080"/>
          <w:lang w:val="en-BE"/>
        </w:rPr>
        <w:t xml:space="preserve">EU je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povečala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carine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na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izvoz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iz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ZDA v EU v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vrednosti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štiri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lastRenderedPageBreak/>
        <w:t>milijarde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evrov</w:t>
      </w:r>
      <w:proofErr w:type="spellEnd"/>
      <w:r>
        <w:rPr>
          <w:rFonts w:eastAsia="Times New Roman"/>
          <w:lang w:val="en-BE"/>
        </w:rPr>
        <w:br/>
      </w:r>
      <w:r>
        <w:rPr>
          <w:rFonts w:eastAsia="Times New Roman"/>
          <w:noProof/>
          <w:lang w:val="en-BE"/>
        </w:rPr>
        <w:drawing>
          <wp:inline distT="0" distB="0" distL="0" distR="0" wp14:anchorId="28E87E07" wp14:editId="7AD2C403">
            <wp:extent cx="2542540" cy="101981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D3EF" w14:textId="3DA08DCF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Kot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protiukrep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proti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nezakonitim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subvencijam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ZDA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proizvajalca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zrakoplovov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Boeing je EU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povečala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carine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izvoz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iz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ZDA v EU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vrednosti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štiri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milijarde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16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Izvedbena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uredba</w:t>
        </w:r>
        <w:proofErr w:type="spellEnd"/>
      </w:hyperlink>
    </w:p>
    <w:p w14:paraId="536D0515" w14:textId="4CD056AE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6F9A37DC" w14:textId="0A5DED49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1D691CE4" w14:textId="77777777" w:rsid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Objavljeno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je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poročilo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o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izvajanju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trgovinskih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sporazumov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EU</w:t>
      </w:r>
    </w:p>
    <w:p w14:paraId="5064AE75" w14:textId="4FB58920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06060"/>
          <w:sz w:val="18"/>
          <w:szCs w:val="18"/>
        </w:rPr>
        <w:drawing>
          <wp:inline distT="0" distB="0" distL="0" distR="0" wp14:anchorId="382FD0C6" wp14:editId="7B9ACD34">
            <wp:extent cx="2542540" cy="1019810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Trgovinska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sporazuma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EU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sklenila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Kanado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Japonsko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sta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pripomogla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k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povečanju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trgovine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25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oziroma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6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odstotkov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komisija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navaja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pravkar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objavljenem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poročilu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o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trgovini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18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Poročilo</w:t>
        </w:r>
        <w:proofErr w:type="spellEnd"/>
      </w:hyperlink>
    </w:p>
    <w:p w14:paraId="025A66DF" w14:textId="61292F1C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04012490" w14:textId="3AE45532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11D981B4" w14:textId="2E3C59BD" w:rsid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Poziv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za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strokovnjake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za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podjetniško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financiranje</w:t>
      </w:r>
      <w:proofErr w:type="spellEnd"/>
      <w:r>
        <w:rPr>
          <w:rFonts w:eastAsia="Times New Roman"/>
          <w:lang w:val="en-BE"/>
        </w:rPr>
        <w:br/>
      </w:r>
      <w:r>
        <w:rPr>
          <w:rFonts w:eastAsia="Times New Roman"/>
          <w:noProof/>
          <w:lang w:val="en-BE"/>
        </w:rPr>
        <w:drawing>
          <wp:inline distT="0" distB="0" distL="0" distR="0" wp14:anchorId="33B71626" wp14:editId="0B8E12DB">
            <wp:extent cx="2542540" cy="1009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316F" w14:textId="5C4B7D2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organ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vrednostne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papirje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(ESMA)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zbira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kandidature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strokovnjakov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podjetniško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financiranje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bi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želeli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postati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člani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svetovalne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skupine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to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področje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Poziv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odprt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do 3.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decembra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20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Poziv</w:t>
        </w:r>
        <w:proofErr w:type="spellEnd"/>
      </w:hyperlink>
    </w:p>
    <w:p w14:paraId="570D24AC" w14:textId="2E44BCB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1E089758" w14:textId="4AA2BCCC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5FF5FE0B" w14:textId="77777777" w:rsidR="00515F0E" w:rsidRDefault="00515F0E" w:rsidP="00515F0E">
      <w:pPr>
        <w:pStyle w:val="Heading3"/>
        <w:rPr>
          <w:rFonts w:eastAsia="Times New Roman"/>
          <w:lang w:val="en-BE"/>
        </w:rPr>
      </w:pPr>
      <w:r>
        <w:rPr>
          <w:rStyle w:val="Strong"/>
          <w:rFonts w:eastAsia="Times New Roman"/>
          <w:b/>
          <w:bCs/>
          <w:color w:val="000080"/>
          <w:lang w:val="en-BE"/>
        </w:rPr>
        <w:t xml:space="preserve">Nov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sistem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pritožb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za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boj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proti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trgovinskim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oviram</w:t>
      </w:r>
      <w:proofErr w:type="spellEnd"/>
    </w:p>
    <w:p w14:paraId="7B1FC455" w14:textId="77777777" w:rsidR="00515F0E" w:rsidRDefault="00515F0E" w:rsidP="00515F0E">
      <w:pPr>
        <w:spacing w:line="360" w:lineRule="auto"/>
        <w:rPr>
          <w:rFonts w:ascii="Helvetica" w:eastAsia="Times New Roman" w:hAnsi="Helvetica" w:cs="Helvetica"/>
          <w:color w:val="606060"/>
          <w:sz w:val="23"/>
          <w:szCs w:val="23"/>
          <w:lang w:val="en-BE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val="en-BE"/>
        </w:rPr>
        <w:t xml:space="preserve">  </w:t>
      </w:r>
    </w:p>
    <w:p w14:paraId="6031AFEE" w14:textId="79BE5E81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06060"/>
          <w:sz w:val="18"/>
          <w:szCs w:val="18"/>
        </w:rPr>
        <w:drawing>
          <wp:inline distT="0" distB="0" distL="0" distR="0" wp14:anchorId="1EA94CDA" wp14:editId="262B7550">
            <wp:extent cx="2542540" cy="1009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komisija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uvedla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sistem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pritožb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prijavljanje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ovir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dostopu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do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ter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kršitev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zavez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področju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trgovine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trajnostnega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razvoja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trgovinskih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sporazumih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EU in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okviru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splošne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sheme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preferencialov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22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Sporočilo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Evropske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komisije</w:t>
        </w:r>
        <w:proofErr w:type="spellEnd"/>
      </w:hyperlink>
    </w:p>
    <w:p w14:paraId="173C6916" w14:textId="03982BF7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7FDB5454" w14:textId="1C3F2429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121AB6EE" w14:textId="49641539" w:rsidR="00515F0E" w:rsidRDefault="00515F0E" w:rsidP="00515F0E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Evropska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komisija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je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pozitivno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ocenila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proračunski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načrt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Slovenije</w:t>
      </w:r>
      <w:proofErr w:type="spellEnd"/>
      <w:r>
        <w:rPr>
          <w:rFonts w:eastAsia="Times New Roman"/>
          <w:lang w:val="en-BE"/>
        </w:rPr>
        <w:br/>
      </w:r>
      <w:r>
        <w:rPr>
          <w:rFonts w:eastAsia="Times New Roman"/>
          <w:noProof/>
          <w:lang w:val="en-BE"/>
        </w:rPr>
        <w:drawing>
          <wp:inline distT="0" distB="0" distL="0" distR="0" wp14:anchorId="2D43838E" wp14:editId="5197D8C6">
            <wp:extent cx="2542540" cy="1009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064C" w14:textId="1F8EF7C3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komisija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ocenila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da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vsi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osnutki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proračunskih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načrtov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držav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članic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evrskega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območja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leto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2021,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torej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tudi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slovenski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upoštevajo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priporočila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Svet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izdal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julija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2020,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odražajo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trenutno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zdravstveno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krizo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visoko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stopnjo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negotovosti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resen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upad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gospodarske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aktivnosti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so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posledica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izbruha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COVID-19.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24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Ocena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Evropske</w:t>
        </w:r>
        <w:proofErr w:type="spellEnd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komisije</w:t>
        </w:r>
        <w:proofErr w:type="spellEnd"/>
      </w:hyperlink>
    </w:p>
    <w:p w14:paraId="73D81206" w14:textId="43385E1A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647ED0E7" w14:textId="7021165E" w:rsidR="00515F0E" w:rsidRDefault="00515F0E" w:rsidP="00515F0E">
      <w:pPr>
        <w:rPr>
          <w:rStyle w:val="Strong"/>
          <w:rFonts w:ascii="Arial" w:eastAsia="Times New Roman" w:hAnsi="Arial" w:cs="Arial"/>
          <w:color w:val="606060"/>
          <w:sz w:val="18"/>
          <w:szCs w:val="18"/>
        </w:rPr>
      </w:pPr>
    </w:p>
    <w:p w14:paraId="6246305C" w14:textId="77777777" w:rsidR="00333D91" w:rsidRDefault="00333D91" w:rsidP="00333D91">
      <w:pPr>
        <w:pStyle w:val="Heading3"/>
        <w:rPr>
          <w:rFonts w:eastAsia="Times New Roman"/>
          <w:lang w:val="en-BE"/>
        </w:rPr>
      </w:pP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Evropska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komisija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mora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okrepiti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protimonopolne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postopke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in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nadzor</w:t>
      </w:r>
      <w:proofErr w:type="spellEnd"/>
      <w:r>
        <w:rPr>
          <w:rStyle w:val="Strong"/>
          <w:rFonts w:eastAsia="Times New Roman"/>
          <w:b/>
          <w:bCs/>
          <w:color w:val="000080"/>
          <w:lang w:val="en-BE"/>
        </w:rPr>
        <w:t xml:space="preserve"> </w:t>
      </w:r>
      <w:proofErr w:type="spellStart"/>
      <w:r>
        <w:rPr>
          <w:rStyle w:val="Strong"/>
          <w:rFonts w:eastAsia="Times New Roman"/>
          <w:b/>
          <w:bCs/>
          <w:color w:val="000080"/>
          <w:lang w:val="en-BE"/>
        </w:rPr>
        <w:t>koncentracij</w:t>
      </w:r>
      <w:proofErr w:type="spellEnd"/>
    </w:p>
    <w:p w14:paraId="2E7B142B" w14:textId="017613E3" w:rsidR="00515F0E" w:rsidRPr="00515F0E" w:rsidRDefault="00333D91" w:rsidP="00515F0E">
      <w:r>
        <w:rPr>
          <w:rFonts w:ascii="Arial" w:eastAsia="Times New Roman" w:hAnsi="Arial" w:cs="Arial"/>
          <w:b/>
          <w:bCs/>
          <w:noProof/>
          <w:color w:val="606060"/>
          <w:sz w:val="18"/>
          <w:szCs w:val="18"/>
        </w:rPr>
        <w:drawing>
          <wp:inline distT="0" distB="0" distL="0" distR="0" wp14:anchorId="24D03321" wp14:editId="09601610">
            <wp:extent cx="2542540" cy="1019810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Revizorji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Evropskega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računskega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sodišča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so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preučili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ali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Evropska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komisija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ustrezno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izvrševala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pravila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področju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nadzora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koncentracij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protimonopolnih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postopkov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Ocenili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so,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kako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uspešno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odkrivala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preiskovala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kršitve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ter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kako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dobro je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sodelovala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nacionalnimi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organi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za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konkurenco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Ugotovili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so, da je v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zadnjem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desetletju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uspešno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uporabljala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svoja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pooblastila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mora pa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zdaj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okrepiti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nadzor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trga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, da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bo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ustrezal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bolj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globaliziranemu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in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digitalnemu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svetu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proofErr w:type="spellStart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Več</w:t>
      </w:r>
      <w:proofErr w:type="spellEnd"/>
      <w:r>
        <w:rPr>
          <w:rStyle w:val="Strong"/>
          <w:rFonts w:ascii="Arial" w:eastAsia="Times New Roman" w:hAnsi="Arial" w:cs="Arial"/>
          <w:color w:val="606060"/>
          <w:sz w:val="18"/>
          <w:szCs w:val="18"/>
        </w:rPr>
        <w:t>:</w:t>
      </w:r>
      <w:r>
        <w:rPr>
          <w:rFonts w:ascii="Arial" w:eastAsia="Times New Roman" w:hAnsi="Arial" w:cs="Arial"/>
          <w:b/>
          <w:bCs/>
          <w:color w:val="606060"/>
          <w:sz w:val="18"/>
          <w:szCs w:val="18"/>
        </w:rPr>
        <w:br/>
      </w:r>
      <w:hyperlink r:id="rId26" w:history="1">
        <w:proofErr w:type="spellStart"/>
        <w:r>
          <w:rPr>
            <w:rStyle w:val="Hyperlink"/>
            <w:rFonts w:ascii="Arial" w:eastAsia="Times New Roman" w:hAnsi="Arial" w:cs="Arial"/>
            <w:color w:val="DAA520"/>
            <w:sz w:val="18"/>
            <w:szCs w:val="18"/>
          </w:rPr>
          <w:t>Poročilo</w:t>
        </w:r>
        <w:proofErr w:type="spellEnd"/>
      </w:hyperlink>
    </w:p>
    <w:sectPr w:rsidR="00515F0E" w:rsidRPr="00515F0E" w:rsidSect="00515F0E">
      <w:headerReference w:type="first" r:id="rId27"/>
      <w:pgSz w:w="11906" w:h="16838"/>
      <w:pgMar w:top="1440" w:right="1440" w:bottom="567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66C5" w14:textId="77777777" w:rsidR="00681B7D" w:rsidRDefault="00681B7D" w:rsidP="00515F0E">
      <w:r>
        <w:separator/>
      </w:r>
    </w:p>
  </w:endnote>
  <w:endnote w:type="continuationSeparator" w:id="0">
    <w:p w14:paraId="69BCF1E9" w14:textId="77777777" w:rsidR="00681B7D" w:rsidRDefault="00681B7D" w:rsidP="0051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A060" w14:textId="77777777" w:rsidR="00681B7D" w:rsidRDefault="00681B7D" w:rsidP="00515F0E">
      <w:r>
        <w:separator/>
      </w:r>
    </w:p>
  </w:footnote>
  <w:footnote w:type="continuationSeparator" w:id="0">
    <w:p w14:paraId="132A267A" w14:textId="77777777" w:rsidR="00681B7D" w:rsidRDefault="00681B7D" w:rsidP="0051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3A75" w14:textId="14711ACF" w:rsidR="00515F0E" w:rsidRDefault="00515F0E" w:rsidP="00515F0E">
    <w:pPr>
      <w:pStyle w:val="Header"/>
      <w:jc w:val="center"/>
    </w:pPr>
    <w:r>
      <w:rPr>
        <w:noProof/>
      </w:rPr>
      <w:drawing>
        <wp:inline distT="0" distB="0" distL="0" distR="0" wp14:anchorId="2EB42E3E" wp14:editId="143C87EA">
          <wp:extent cx="5458206" cy="2393950"/>
          <wp:effectExtent l="0" t="0" r="9525" b="635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767" cy="239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7D"/>
    <w:rsid w:val="00333D91"/>
    <w:rsid w:val="00515F0E"/>
    <w:rsid w:val="00681B7D"/>
    <w:rsid w:val="00775FAB"/>
    <w:rsid w:val="009B3B7D"/>
    <w:rsid w:val="00D347F8"/>
    <w:rsid w:val="00D40831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B7610A"/>
  <w15:chartTrackingRefBased/>
  <w15:docId w15:val="{283BF032-7C60-4AF3-8997-5674C692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F0E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unhideWhenUsed/>
    <w:qFormat/>
    <w:rsid w:val="00515F0E"/>
    <w:pPr>
      <w:spacing w:line="300" w:lineRule="auto"/>
      <w:outlineLvl w:val="2"/>
    </w:pPr>
    <w:rPr>
      <w:rFonts w:ascii="Helvetica" w:hAnsi="Helvetica" w:cs="Helvetica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F0E"/>
    <w:rPr>
      <w:rFonts w:ascii="Helvetica" w:hAnsi="Helvetica" w:cs="Helvetica"/>
      <w:b/>
      <w:bCs/>
      <w:color w:val="606060"/>
      <w:spacing w:val="-8"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515F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5F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F0E"/>
    <w:rPr>
      <w:rFonts w:ascii="Calibri" w:hAnsi="Calibri" w:cs="Calibri"/>
      <w:lang w:val="en-BE" w:eastAsia="en-BE"/>
    </w:rPr>
  </w:style>
  <w:style w:type="paragraph" w:styleId="Footer">
    <w:name w:val="footer"/>
    <w:basedOn w:val="Normal"/>
    <w:link w:val="FooterChar"/>
    <w:uiPriority w:val="99"/>
    <w:unhideWhenUsed/>
    <w:rsid w:val="00515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F0E"/>
    <w:rPr>
      <w:rFonts w:ascii="Calibri" w:hAnsi="Calibri" w:cs="Calibri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ra.us8.list-manage.com/track/click?u=e6e6edab27aee286b10f651f9&amp;id=fb61cc5e77&amp;e=b881071455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bra.us8.list-manage.com/track/click?u=e6e6edab27aee286b10f651f9&amp;id=33f3a892bd&amp;e=b881071455" TargetMode="External"/><Relationship Id="rId26" Type="http://schemas.openxmlformats.org/officeDocument/2006/relationships/hyperlink" Target="https://sbra.us8.list-manage.com/track/click?u=e6e6edab27aee286b10f651f9&amp;id=aa2d1fad55&amp;e=b88107145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sbra.us8.list-manage.com/track/click?u=e6e6edab27aee286b10f651f9&amp;id=55a919d9e5&amp;e=b881071455" TargetMode="External"/><Relationship Id="rId12" Type="http://schemas.openxmlformats.org/officeDocument/2006/relationships/hyperlink" Target="https://sbra.us8.list-manage.com/track/click?u=e6e6edab27aee286b10f651f9&amp;id=5e4007a410&amp;e=b881071455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f563d3e966&amp;e=b881071455" TargetMode="External"/><Relationship Id="rId20" Type="http://schemas.openxmlformats.org/officeDocument/2006/relationships/hyperlink" Target="https://sbra.us8.list-manage.com/track/click?u=e6e6edab27aee286b10f651f9&amp;id=f6f5e64e97&amp;e=b88107145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sbra.us8.list-manage.com/track/click?u=e6e6edab27aee286b10f651f9&amp;id=f11e52e140&amp;e=b88107145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s://sbra.us8.list-manage.com/track/click?u=e6e6edab27aee286b10f651f9&amp;id=74f437f3d8&amp;e=b881071455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sbra.us8.list-manage.com/track/click?u=e6e6edab27aee286b10f651f9&amp;id=2d08d56442&amp;e=b881071455" TargetMode="External"/><Relationship Id="rId22" Type="http://schemas.openxmlformats.org/officeDocument/2006/relationships/hyperlink" Target="https://sbra.us8.list-manage.com/track/click?u=e6e6edab27aee286b10f651f9&amp;id=c42395293c&amp;e=b881071455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5</cp:revision>
  <dcterms:created xsi:type="dcterms:W3CDTF">2020-11-24T11:03:00Z</dcterms:created>
  <dcterms:modified xsi:type="dcterms:W3CDTF">2020-11-24T11:12:00Z</dcterms:modified>
</cp:coreProperties>
</file>