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20430" w14:textId="0B98B2D7" w:rsidR="00116928" w:rsidRDefault="00116928" w:rsidP="004E1E67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>
        <w:object w:dxaOrig="2670" w:dyaOrig="1070" w14:anchorId="3D1282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203.5pt;height:81.5pt" o:ole="">
            <v:imagedata r:id="rId6" o:title=""/>
          </v:shape>
          <o:OLEObject Type="Embed" ProgID="Paint.Picture" ShapeID="_x0000_i1040" DrawAspect="Content" ObjectID="_1714914888" r:id="rId7"/>
        </w:object>
      </w:r>
    </w:p>
    <w:p w14:paraId="0A1B02AE" w14:textId="6B4CDEF3" w:rsidR="004E1E67" w:rsidRPr="003D48DB" w:rsidRDefault="004E1E67" w:rsidP="004E1E67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b/>
          <w:bCs/>
          <w:color w:val="1F3864" w:themeColor="accent1" w:themeShade="80"/>
          <w:sz w:val="20"/>
          <w:szCs w:val="20"/>
        </w:rPr>
        <w:t>Sodba v zvezi z enološkimi postopki za vina</w:t>
      </w:r>
    </w:p>
    <w:p w14:paraId="49429165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19D0B4C6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Sodniki sodišča EU so presodili, da potrdilo organov tretje države o skladnosti pošiljke</w:t>
      </w:r>
    </w:p>
    <w:p w14:paraId="76B3C4AD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vina z enološkimi postopki Evropske unije samo po sebi ne pomeni, da je pošiljka vina skladna z enološkimi postopki Evropske unije.</w:t>
      </w:r>
    </w:p>
    <w:p w14:paraId="698D1C41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6581C9BF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Več:</w:t>
      </w:r>
    </w:p>
    <w:p w14:paraId="3F257FF3" w14:textId="77777777" w:rsidR="004E1E67" w:rsidRPr="003D48DB" w:rsidRDefault="004E1E67" w:rsidP="004E1E67">
      <w:pPr>
        <w:jc w:val="both"/>
        <w:rPr>
          <w:rFonts w:ascii="Arial" w:hAnsi="Arial"/>
          <w:color w:val="FFC000"/>
          <w:sz w:val="20"/>
          <w:szCs w:val="20"/>
        </w:rPr>
      </w:pPr>
      <w:hyperlink r:id="rId8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Sodba</w:t>
        </w:r>
      </w:hyperlink>
    </w:p>
    <w:p w14:paraId="1CAA65C5" w14:textId="37B2BB14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5EBFB00D" w14:textId="717D79A2" w:rsidR="004E1E67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75B02E7D" w14:textId="53B3F71D" w:rsidR="00593248" w:rsidRPr="003D48DB" w:rsidRDefault="00593248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>
        <w:object w:dxaOrig="2670" w:dyaOrig="1070" w14:anchorId="0DBDCB4D">
          <v:shape id="_x0000_i1042" type="#_x0000_t75" style="width:204.5pt;height:82pt" o:ole="">
            <v:imagedata r:id="rId9" o:title=""/>
          </v:shape>
          <o:OLEObject Type="Embed" ProgID="Paint.Picture" ShapeID="_x0000_i1042" DrawAspect="Content" ObjectID="_1714914889" r:id="rId10"/>
        </w:object>
      </w:r>
    </w:p>
    <w:p w14:paraId="500EFDE6" w14:textId="77777777" w:rsidR="004E1E67" w:rsidRPr="003D48DB" w:rsidRDefault="004E1E67" w:rsidP="004E1E67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b/>
          <w:bCs/>
          <w:color w:val="1F3864" w:themeColor="accent1" w:themeShade="80"/>
          <w:sz w:val="20"/>
          <w:szCs w:val="20"/>
        </w:rPr>
        <w:t>Evropska komisija predlaga uvedbo enotnega dovoljenja za delo in prebivanje</w:t>
      </w:r>
    </w:p>
    <w:p w14:paraId="6A2F3765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306D0B8A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Evropska komisija je objavila predloge, ki naj bi zakonitim migrantom in delodajalcem olajšali pridobitev dovoljenj, olajšali privabljanje talentov v EU ter omogočili boljše usklajevanje znanj in spretnosti s potrebami trga dela.</w:t>
      </w:r>
    </w:p>
    <w:p w14:paraId="62606B8C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280ABF77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Več:</w:t>
      </w:r>
    </w:p>
    <w:p w14:paraId="3F5FF765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hyperlink r:id="rId11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Revidirana direktiva o enotnem dovoljenju</w:t>
        </w:r>
      </w:hyperlink>
    </w:p>
    <w:p w14:paraId="5FA2BC40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in</w:t>
      </w:r>
    </w:p>
    <w:p w14:paraId="011CC5EF" w14:textId="77777777" w:rsidR="004E1E67" w:rsidRPr="003D48DB" w:rsidRDefault="004E1E67" w:rsidP="004E1E67">
      <w:pPr>
        <w:jc w:val="both"/>
        <w:rPr>
          <w:rFonts w:ascii="Arial" w:hAnsi="Arial"/>
          <w:color w:val="FFC000"/>
          <w:sz w:val="20"/>
          <w:szCs w:val="20"/>
        </w:rPr>
      </w:pPr>
      <w:hyperlink r:id="rId12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Sporočilo: privabljanje znanj, spretnosti in talentov v EU</w:t>
        </w:r>
      </w:hyperlink>
    </w:p>
    <w:p w14:paraId="47E21DC4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in</w:t>
      </w:r>
    </w:p>
    <w:p w14:paraId="1E802729" w14:textId="36A27FD5" w:rsidR="001E0747" w:rsidRPr="003D48DB" w:rsidRDefault="004E1E67" w:rsidP="004E1E67">
      <w:pPr>
        <w:rPr>
          <w:rStyle w:val="Hyperlink"/>
          <w:rFonts w:ascii="Arial" w:hAnsi="Arial"/>
          <w:color w:val="FFC000"/>
          <w:sz w:val="20"/>
          <w:szCs w:val="20"/>
        </w:rPr>
      </w:pPr>
      <w:hyperlink r:id="rId13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Revidirana direktiva o rezidentih za daljši čas</w:t>
        </w:r>
      </w:hyperlink>
      <w:r w:rsidRPr="003D48DB">
        <w:rPr>
          <w:rStyle w:val="Hyperlink"/>
          <w:rFonts w:ascii="Arial" w:hAnsi="Arial"/>
          <w:color w:val="FFC000"/>
          <w:sz w:val="20"/>
          <w:szCs w:val="20"/>
        </w:rPr>
        <w:t xml:space="preserve"> </w:t>
      </w:r>
    </w:p>
    <w:p w14:paraId="130EE7FF" w14:textId="7AD1CEFE" w:rsidR="004E1E67" w:rsidRPr="003D48DB" w:rsidRDefault="004E1E67" w:rsidP="004E1E67">
      <w:pPr>
        <w:rPr>
          <w:rStyle w:val="Hyperlink"/>
          <w:rFonts w:ascii="Arial" w:hAnsi="Arial"/>
          <w:color w:val="1F3864" w:themeColor="accent1" w:themeShade="80"/>
          <w:sz w:val="20"/>
          <w:szCs w:val="20"/>
        </w:rPr>
      </w:pPr>
    </w:p>
    <w:p w14:paraId="5DFED22B" w14:textId="45120F0F" w:rsidR="004E1E67" w:rsidRDefault="004E1E67" w:rsidP="004E1E67">
      <w:pPr>
        <w:rPr>
          <w:rStyle w:val="Hyperlink"/>
          <w:rFonts w:ascii="Arial" w:hAnsi="Arial"/>
          <w:color w:val="1F3864" w:themeColor="accent1" w:themeShade="80"/>
          <w:sz w:val="20"/>
          <w:szCs w:val="20"/>
        </w:rPr>
      </w:pPr>
    </w:p>
    <w:p w14:paraId="60D886D1" w14:textId="2ADEE84E" w:rsidR="00AA1A26" w:rsidRPr="003D48DB" w:rsidRDefault="00AA1A26" w:rsidP="004E1E67">
      <w:pPr>
        <w:rPr>
          <w:rStyle w:val="Hyperlink"/>
          <w:rFonts w:ascii="Arial" w:hAnsi="Arial"/>
          <w:color w:val="1F3864" w:themeColor="accent1" w:themeShade="80"/>
          <w:sz w:val="20"/>
          <w:szCs w:val="20"/>
        </w:rPr>
      </w:pPr>
      <w:r>
        <w:object w:dxaOrig="2670" w:dyaOrig="1070" w14:anchorId="14B187E3">
          <v:shape id="_x0000_i1044" type="#_x0000_t75" style="width:206pt;height:82.5pt" o:ole="">
            <v:imagedata r:id="rId14" o:title=""/>
          </v:shape>
          <o:OLEObject Type="Embed" ProgID="Paint.Picture" ShapeID="_x0000_i1044" DrawAspect="Content" ObjectID="_1714914890" r:id="rId15"/>
        </w:object>
      </w:r>
    </w:p>
    <w:p w14:paraId="2B0151F0" w14:textId="77777777" w:rsidR="004E1E67" w:rsidRPr="003D48DB" w:rsidRDefault="004E1E67" w:rsidP="004E1E67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b/>
          <w:bCs/>
          <w:color w:val="1F3864" w:themeColor="accent1" w:themeShade="80"/>
          <w:sz w:val="20"/>
          <w:szCs w:val="20"/>
        </w:rPr>
        <w:t>Evropska komisija predlaga opustitev uvoznih dajatev na ves ukrajinski izvoz v EU za eno leto</w:t>
      </w:r>
    </w:p>
    <w:p w14:paraId="6CB13ACD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6629C9C6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 xml:space="preserve">Evropska komisija se je odločila predlagati, da se za eno leto opustijo uvozne dajatve na ves ukrajinski izvoz v EU. Predlog prav tako določa, da se za eno leto opustijo vsi </w:t>
      </w:r>
      <w:proofErr w:type="spellStart"/>
      <w:r w:rsidRPr="003D48DB">
        <w:rPr>
          <w:rFonts w:ascii="Arial" w:hAnsi="Arial"/>
          <w:color w:val="1F3864" w:themeColor="accent1" w:themeShade="80"/>
          <w:sz w:val="20"/>
          <w:szCs w:val="20"/>
        </w:rPr>
        <w:t>protidampinški</w:t>
      </w:r>
      <w:proofErr w:type="spellEnd"/>
      <w:r w:rsidRPr="003D48DB">
        <w:rPr>
          <w:rFonts w:ascii="Arial" w:hAnsi="Arial"/>
          <w:color w:val="1F3864" w:themeColor="accent1" w:themeShade="80"/>
          <w:sz w:val="20"/>
          <w:szCs w:val="20"/>
        </w:rPr>
        <w:t xml:space="preserve"> in zaščitni ukrepi EU, ki veljajo za izvoz ukrajinskega jekla.</w:t>
      </w:r>
    </w:p>
    <w:p w14:paraId="6C2EA225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540F50E3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Več:</w:t>
      </w:r>
    </w:p>
    <w:p w14:paraId="6A9F0096" w14:textId="77777777" w:rsidR="004E1E67" w:rsidRPr="003D48DB" w:rsidRDefault="004E1E67" w:rsidP="004E1E67">
      <w:pPr>
        <w:jc w:val="both"/>
        <w:rPr>
          <w:rFonts w:ascii="Arial" w:hAnsi="Arial"/>
          <w:color w:val="FFC000"/>
          <w:sz w:val="20"/>
          <w:szCs w:val="20"/>
        </w:rPr>
      </w:pPr>
      <w:hyperlink r:id="rId16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Predlog</w:t>
        </w:r>
      </w:hyperlink>
    </w:p>
    <w:p w14:paraId="5CEEFB2B" w14:textId="1E79923B" w:rsidR="004E1E67" w:rsidRPr="003D48DB" w:rsidRDefault="004E1E67" w:rsidP="004E1E67">
      <w:pPr>
        <w:rPr>
          <w:color w:val="1F3864" w:themeColor="accent1" w:themeShade="80"/>
        </w:rPr>
      </w:pPr>
    </w:p>
    <w:p w14:paraId="38EBAE29" w14:textId="32DF379B" w:rsidR="004E1E67" w:rsidRPr="003D48DB" w:rsidRDefault="00A97116" w:rsidP="004E1E67">
      <w:pPr>
        <w:rPr>
          <w:color w:val="1F3864" w:themeColor="accent1" w:themeShade="80"/>
        </w:rPr>
      </w:pPr>
      <w:r>
        <w:object w:dxaOrig="2670" w:dyaOrig="1070" w14:anchorId="641A3935">
          <v:shape id="_x0000_i1046" type="#_x0000_t75" style="width:203.5pt;height:81.5pt" o:ole="">
            <v:imagedata r:id="rId17" o:title=""/>
          </v:shape>
          <o:OLEObject Type="Embed" ProgID="Paint.Picture" ShapeID="_x0000_i1046" DrawAspect="Content" ObjectID="_1714914891" r:id="rId18"/>
        </w:object>
      </w:r>
    </w:p>
    <w:p w14:paraId="7E9DC07B" w14:textId="77777777" w:rsidR="004E1E67" w:rsidRPr="003D48DB" w:rsidRDefault="004E1E67" w:rsidP="004E1E67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b/>
          <w:bCs/>
          <w:color w:val="1F3864" w:themeColor="accent1" w:themeShade="80"/>
          <w:sz w:val="20"/>
          <w:szCs w:val="20"/>
        </w:rPr>
        <w:t xml:space="preserve">Javno posvetovanje o pobudi za doseganje bolj trajnostnih in odpornejših prehranskih sistemov </w:t>
      </w:r>
    </w:p>
    <w:p w14:paraId="04EE2347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3ECC002F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Evropska komisija prek javnega posvetovanja do 21. julija zbira mnenja in  predloge o pobudi za doseganje bolj trajnostnih in odpornejših prehranskih sistemov.</w:t>
      </w:r>
    </w:p>
    <w:p w14:paraId="332FD70D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4D59EE9B" w14:textId="77777777" w:rsidR="004E1E67" w:rsidRPr="003D48DB" w:rsidRDefault="004E1E67" w:rsidP="004E1E67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Več:</w:t>
      </w:r>
    </w:p>
    <w:p w14:paraId="0E2384D5" w14:textId="77777777" w:rsidR="004E1E67" w:rsidRPr="003D48DB" w:rsidRDefault="004E1E67" w:rsidP="004E1E67">
      <w:pPr>
        <w:jc w:val="both"/>
        <w:rPr>
          <w:rFonts w:ascii="Arial" w:hAnsi="Arial"/>
          <w:color w:val="FFC000"/>
          <w:sz w:val="20"/>
          <w:szCs w:val="20"/>
        </w:rPr>
      </w:pPr>
      <w:hyperlink r:id="rId19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Posvetovanje</w:t>
        </w:r>
      </w:hyperlink>
    </w:p>
    <w:p w14:paraId="4544E1F8" w14:textId="52CB1919" w:rsidR="004E1E67" w:rsidRPr="003D48DB" w:rsidRDefault="004E1E67" w:rsidP="004E1E67">
      <w:pPr>
        <w:rPr>
          <w:color w:val="1F3864" w:themeColor="accent1" w:themeShade="80"/>
        </w:rPr>
      </w:pPr>
    </w:p>
    <w:p w14:paraId="548EC200" w14:textId="22A9950C" w:rsidR="00FC6424" w:rsidRDefault="00FC6424" w:rsidP="004E1E67">
      <w:pPr>
        <w:rPr>
          <w:color w:val="1F3864" w:themeColor="accent1" w:themeShade="80"/>
        </w:rPr>
      </w:pPr>
    </w:p>
    <w:p w14:paraId="5EC7B1FE" w14:textId="18992DC7" w:rsidR="00EA68AE" w:rsidRPr="003D48DB" w:rsidRDefault="00EA68AE" w:rsidP="004E1E67">
      <w:pPr>
        <w:rPr>
          <w:color w:val="1F3864" w:themeColor="accent1" w:themeShade="80"/>
        </w:rPr>
      </w:pPr>
      <w:r>
        <w:object w:dxaOrig="2670" w:dyaOrig="1070" w14:anchorId="3F42C32C">
          <v:shape id="_x0000_i1048" type="#_x0000_t75" style="width:206pt;height:82.5pt" o:ole="">
            <v:imagedata r:id="rId20" o:title=""/>
          </v:shape>
          <o:OLEObject Type="Embed" ProgID="Paint.Picture" ShapeID="_x0000_i1048" DrawAspect="Content" ObjectID="_1714914892" r:id="rId21"/>
        </w:object>
      </w:r>
    </w:p>
    <w:p w14:paraId="523EF78D" w14:textId="77777777" w:rsidR="00FC6424" w:rsidRPr="003D48DB" w:rsidRDefault="00FC6424" w:rsidP="00FC6424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b/>
          <w:bCs/>
          <w:color w:val="1F3864" w:themeColor="accent1" w:themeShade="80"/>
          <w:sz w:val="20"/>
          <w:szCs w:val="20"/>
        </w:rPr>
        <w:t>Sodba o garanciji proizvajalca</w:t>
      </w:r>
    </w:p>
    <w:p w14:paraId="54ABB742" w14:textId="77777777" w:rsidR="00FC6424" w:rsidRPr="003D48DB" w:rsidRDefault="00FC6424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5AA2536A" w14:textId="77777777" w:rsidR="00FC6424" w:rsidRPr="003D48DB" w:rsidRDefault="00FC6424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 xml:space="preserve">Trgovec, ki na spletnih mestih, kot je </w:t>
      </w:r>
      <w:proofErr w:type="spellStart"/>
      <w:r w:rsidRPr="003D48DB">
        <w:rPr>
          <w:rFonts w:ascii="Arial" w:hAnsi="Arial"/>
          <w:color w:val="1F3864" w:themeColor="accent1" w:themeShade="80"/>
          <w:sz w:val="20"/>
          <w:szCs w:val="20"/>
        </w:rPr>
        <w:t>Amazon</w:t>
      </w:r>
      <w:proofErr w:type="spellEnd"/>
      <w:r w:rsidRPr="003D48DB">
        <w:rPr>
          <w:rFonts w:ascii="Arial" w:hAnsi="Arial"/>
          <w:color w:val="1F3864" w:themeColor="accent1" w:themeShade="80"/>
          <w:sz w:val="20"/>
          <w:szCs w:val="20"/>
        </w:rPr>
        <w:t>, ponuja blago, ki ga ni sam proizvedel, mora potrošnika obvestiti o garanciji proizvajalca, če je to garancijo izpostavil kot osrednji ali odločilni element svoje ponudbe, so presodili sodniki Sodišča EU.</w:t>
      </w:r>
    </w:p>
    <w:p w14:paraId="2066EDB0" w14:textId="77777777" w:rsidR="00FC6424" w:rsidRPr="003D48DB" w:rsidRDefault="00FC6424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27B94D29" w14:textId="77777777" w:rsidR="00FC6424" w:rsidRPr="003D48DB" w:rsidRDefault="00FC6424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Več:</w:t>
      </w:r>
    </w:p>
    <w:p w14:paraId="0AD1D7AB" w14:textId="77777777" w:rsidR="00FC6424" w:rsidRPr="003D48DB" w:rsidRDefault="00FC6424" w:rsidP="00FC6424">
      <w:pPr>
        <w:jc w:val="both"/>
        <w:rPr>
          <w:color w:val="FFC000"/>
        </w:rPr>
      </w:pPr>
      <w:hyperlink r:id="rId22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Sodba</w:t>
        </w:r>
      </w:hyperlink>
    </w:p>
    <w:p w14:paraId="610D31DE" w14:textId="64D702A7" w:rsidR="00FC6424" w:rsidRPr="003D48DB" w:rsidRDefault="00FC6424" w:rsidP="004E1E67">
      <w:pPr>
        <w:rPr>
          <w:color w:val="1F3864" w:themeColor="accent1" w:themeShade="80"/>
        </w:rPr>
      </w:pPr>
    </w:p>
    <w:p w14:paraId="278DB3AF" w14:textId="07CC18E9" w:rsidR="00FC6424" w:rsidRPr="003D48DB" w:rsidRDefault="003123B2" w:rsidP="004E1E67">
      <w:pPr>
        <w:rPr>
          <w:color w:val="1F3864" w:themeColor="accent1" w:themeShade="80"/>
        </w:rPr>
      </w:pPr>
      <w:r>
        <w:rPr>
          <w:noProof/>
        </w:rPr>
        <w:drawing>
          <wp:inline distT="0" distB="0" distL="0" distR="0" wp14:anchorId="7DFA071E" wp14:editId="3B095494">
            <wp:extent cx="2619874" cy="1041400"/>
            <wp:effectExtent l="0" t="0" r="9525" b="6350"/>
            <wp:docPr id="1" name="Picture 1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pplica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73" cy="104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1446" w14:textId="77777777" w:rsidR="00FC6424" w:rsidRPr="003D48DB" w:rsidRDefault="00FC6424" w:rsidP="00FC6424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b/>
          <w:bCs/>
          <w:color w:val="1F3864" w:themeColor="accent1" w:themeShade="80"/>
          <w:sz w:val="20"/>
          <w:szCs w:val="20"/>
        </w:rPr>
        <w:t>Organ ESMA pripravlja priporočila za izboljšanje zaščite vlagateljev</w:t>
      </w:r>
    </w:p>
    <w:p w14:paraId="587483E4" w14:textId="77777777" w:rsidR="00FC6424" w:rsidRPr="003D48DB" w:rsidRDefault="00FC6424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08F4A018" w14:textId="77777777" w:rsidR="00FC6424" w:rsidRPr="003D48DB" w:rsidRDefault="00FC6424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 xml:space="preserve">Evropski organ za vrednostne papirje in trge (ESMA) v predlogu priporočil za izboljšanje zaščite vlagateljev med drugim obravnava vprašanja, povezana z zavajajočimi tržnimi kampanjami v družbenih medijih in uporabo praks spletnega vključevanja. </w:t>
      </w:r>
    </w:p>
    <w:p w14:paraId="2BAE702B" w14:textId="77777777" w:rsidR="00FC6424" w:rsidRPr="003D48DB" w:rsidRDefault="00FC6424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5E11E4FB" w14:textId="77777777" w:rsidR="00FC6424" w:rsidRPr="003D48DB" w:rsidRDefault="00FC6424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Več:</w:t>
      </w:r>
    </w:p>
    <w:p w14:paraId="6F8A5656" w14:textId="708BF77D" w:rsidR="00FC6424" w:rsidRPr="003D48DB" w:rsidRDefault="00FC6424" w:rsidP="00FC6424">
      <w:pPr>
        <w:jc w:val="both"/>
        <w:rPr>
          <w:rStyle w:val="Hyperlink"/>
          <w:rFonts w:ascii="Arial" w:hAnsi="Arial"/>
          <w:color w:val="FFC000"/>
          <w:sz w:val="20"/>
          <w:szCs w:val="20"/>
        </w:rPr>
      </w:pPr>
      <w:hyperlink r:id="rId24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Poročilo</w:t>
        </w:r>
      </w:hyperlink>
    </w:p>
    <w:p w14:paraId="44A26B13" w14:textId="25F28AB3" w:rsidR="00FC6424" w:rsidRPr="003D48DB" w:rsidRDefault="00FC6424" w:rsidP="00FC6424">
      <w:pPr>
        <w:jc w:val="both"/>
        <w:rPr>
          <w:rStyle w:val="Hyperlink"/>
          <w:rFonts w:ascii="Arial" w:hAnsi="Arial"/>
          <w:color w:val="1F3864" w:themeColor="accent1" w:themeShade="80"/>
          <w:sz w:val="20"/>
          <w:szCs w:val="20"/>
        </w:rPr>
      </w:pPr>
    </w:p>
    <w:p w14:paraId="64BFC3DA" w14:textId="5E697475" w:rsidR="00FC6424" w:rsidRDefault="00FC6424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0EA598EE" w14:textId="4FBEF5C2" w:rsidR="00894B9F" w:rsidRPr="003D48DB" w:rsidRDefault="00894B9F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>
        <w:object w:dxaOrig="2670" w:dyaOrig="1070" w14:anchorId="3C036572">
          <v:shape id="_x0000_i1052" type="#_x0000_t75" style="width:204.5pt;height:82pt" o:ole="">
            <v:imagedata r:id="rId25" o:title=""/>
          </v:shape>
          <o:OLEObject Type="Embed" ProgID="Paint.Picture" ShapeID="_x0000_i1052" DrawAspect="Content" ObjectID="_1714914893" r:id="rId26"/>
        </w:object>
      </w:r>
    </w:p>
    <w:p w14:paraId="2A656E6E" w14:textId="77777777" w:rsidR="00B1598B" w:rsidRPr="003D48DB" w:rsidRDefault="00B1598B" w:rsidP="00B1598B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b/>
          <w:bCs/>
          <w:color w:val="1F3864" w:themeColor="accent1" w:themeShade="80"/>
          <w:sz w:val="20"/>
          <w:szCs w:val="20"/>
        </w:rPr>
        <w:t>Predlog za davčne spodbude za lastniški kapital</w:t>
      </w:r>
    </w:p>
    <w:p w14:paraId="104A345A" w14:textId="77777777" w:rsidR="00B1598B" w:rsidRPr="003D48DB" w:rsidRDefault="00B1598B" w:rsidP="00B1598B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09C711A1" w14:textId="77777777" w:rsidR="00B1598B" w:rsidRPr="003D48DB" w:rsidRDefault="00B1598B" w:rsidP="00B1598B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 xml:space="preserve">Evropska komisija predlaga olajšavo za zmanjšanje neenake obravnave dolžniškega in lastniškega kapitala (DEBRA), da bi podjetjem pomagala pri dostopu do financiranja. V skladu s predlogom bi se povečanje lastniškega kapitala davkoplačevalca med dvema zaporednima davčnima letoma odbilo od njegove davčne osnove, podobno kot velja pri dolgu. </w:t>
      </w:r>
    </w:p>
    <w:p w14:paraId="34FBF20E" w14:textId="77777777" w:rsidR="00B1598B" w:rsidRPr="003D48DB" w:rsidRDefault="00B1598B" w:rsidP="00B1598B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4081CF23" w14:textId="77777777" w:rsidR="00B1598B" w:rsidRPr="003D48DB" w:rsidRDefault="00B1598B" w:rsidP="00B1598B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Več:</w:t>
      </w:r>
    </w:p>
    <w:p w14:paraId="4EF45991" w14:textId="77777777" w:rsidR="00B1598B" w:rsidRPr="003D48DB" w:rsidRDefault="00B1598B" w:rsidP="00B1598B">
      <w:pPr>
        <w:jc w:val="both"/>
        <w:rPr>
          <w:rFonts w:ascii="Arial" w:hAnsi="Arial"/>
          <w:color w:val="FFC000"/>
          <w:sz w:val="20"/>
          <w:szCs w:val="20"/>
        </w:rPr>
      </w:pPr>
      <w:hyperlink r:id="rId27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Predlog</w:t>
        </w:r>
      </w:hyperlink>
    </w:p>
    <w:p w14:paraId="30579114" w14:textId="0401F11D" w:rsidR="00B1598B" w:rsidRPr="003D48DB" w:rsidRDefault="00B1598B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598BA466" w14:textId="5CF26074" w:rsidR="00B1598B" w:rsidRDefault="00B1598B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596B2B0A" w14:textId="14A83A1C" w:rsidR="009D01A6" w:rsidRPr="003D48DB" w:rsidRDefault="009D01A6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>
        <w:object w:dxaOrig="2670" w:dyaOrig="1070" w14:anchorId="48401872">
          <v:shape id="_x0000_i1054" type="#_x0000_t75" style="width:203pt;height:81.5pt" o:ole="">
            <v:imagedata r:id="rId28" o:title=""/>
          </v:shape>
          <o:OLEObject Type="Embed" ProgID="Paint.Picture" ShapeID="_x0000_i1054" DrawAspect="Content" ObjectID="_1714914894" r:id="rId29"/>
        </w:object>
      </w:r>
    </w:p>
    <w:p w14:paraId="15043B68" w14:textId="77777777" w:rsidR="00B1598B" w:rsidRPr="003D48DB" w:rsidRDefault="00B1598B" w:rsidP="00B1598B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b/>
          <w:bCs/>
          <w:color w:val="1F3864" w:themeColor="accent1" w:themeShade="80"/>
          <w:sz w:val="20"/>
          <w:szCs w:val="20"/>
        </w:rPr>
        <w:t>Reforma pravil za trženje finančnih storitev na daljavo</w:t>
      </w:r>
    </w:p>
    <w:p w14:paraId="5E67BF00" w14:textId="77777777" w:rsidR="00B1598B" w:rsidRPr="003D48DB" w:rsidRDefault="00B1598B" w:rsidP="00B1598B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4D174202" w14:textId="77777777" w:rsidR="00B1598B" w:rsidRPr="003D48DB" w:rsidRDefault="00B1598B" w:rsidP="00B1598B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Evropska komisija predlaga reformo pravil EU za trženje finančnih storitev na daljavo, s katerim želi med drugim omogočiti lažje uveljavljanje pravice do štirinajstdnevnega roka za odstop in predpisati posebna pravila za varstvo potrošnikov pri sklepanju pogodb o finančnih storitvah na spletu.</w:t>
      </w:r>
    </w:p>
    <w:p w14:paraId="104C2CDB" w14:textId="77777777" w:rsidR="00B1598B" w:rsidRPr="003D48DB" w:rsidRDefault="00B1598B" w:rsidP="00B1598B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55619723" w14:textId="77777777" w:rsidR="00B1598B" w:rsidRPr="003D48DB" w:rsidRDefault="00B1598B" w:rsidP="00B1598B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Več:</w:t>
      </w:r>
    </w:p>
    <w:p w14:paraId="1BF001CB" w14:textId="77777777" w:rsidR="00B1598B" w:rsidRPr="003D48DB" w:rsidRDefault="00B1598B" w:rsidP="00B1598B">
      <w:pPr>
        <w:jc w:val="both"/>
        <w:rPr>
          <w:rFonts w:ascii="Arial" w:hAnsi="Arial"/>
          <w:color w:val="FFC000"/>
          <w:sz w:val="20"/>
          <w:szCs w:val="20"/>
        </w:rPr>
      </w:pPr>
      <w:hyperlink r:id="rId30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Predlog o spremembi pravil za pogodbe o finančnih storitvah, sklenjene na daljavo</w:t>
        </w:r>
      </w:hyperlink>
    </w:p>
    <w:p w14:paraId="6672C69C" w14:textId="77777777" w:rsidR="00B1598B" w:rsidRPr="003D48DB" w:rsidRDefault="00B1598B" w:rsidP="00FC6424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7C7DD234" w14:textId="00EFBA7D" w:rsidR="00FC6424" w:rsidRPr="003D48DB" w:rsidRDefault="00E074D4" w:rsidP="004E1E67">
      <w:pPr>
        <w:rPr>
          <w:color w:val="1F3864" w:themeColor="accent1" w:themeShade="80"/>
        </w:rPr>
      </w:pPr>
      <w:r>
        <w:object w:dxaOrig="2670" w:dyaOrig="1070" w14:anchorId="1D802F71">
          <v:shape id="_x0000_i1056" type="#_x0000_t75" style="width:202pt;height:81pt" o:ole="">
            <v:imagedata r:id="rId31" o:title=""/>
          </v:shape>
          <o:OLEObject Type="Embed" ProgID="Paint.Picture" ShapeID="_x0000_i1056" DrawAspect="Content" ObjectID="_1714914895" r:id="rId32"/>
        </w:object>
      </w:r>
    </w:p>
    <w:p w14:paraId="47E5F7B0" w14:textId="77777777" w:rsidR="00A7456E" w:rsidRPr="003D48DB" w:rsidRDefault="00A7456E" w:rsidP="00A7456E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b/>
          <w:bCs/>
          <w:color w:val="1F3864" w:themeColor="accent1" w:themeShade="80"/>
          <w:sz w:val="20"/>
          <w:szCs w:val="20"/>
        </w:rPr>
        <w:t>Prve države članice so se zavezale izvajanju nove pobude Evropske komisije ALMA</w:t>
      </w:r>
    </w:p>
    <w:p w14:paraId="5C5BFE84" w14:textId="77777777" w:rsidR="00A7456E" w:rsidRPr="003D48DB" w:rsidRDefault="00A7456E" w:rsidP="00A7456E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503FF727" w14:textId="77777777" w:rsidR="00A7456E" w:rsidRPr="003D48DB" w:rsidRDefault="00A7456E" w:rsidP="00A7456E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Evropska komisija je sporočila, da se je več kot polovica držav članic zavezala, da bodo izvajale pobudo ALMA („</w:t>
      </w:r>
      <w:proofErr w:type="spellStart"/>
      <w:r w:rsidRPr="003D48DB">
        <w:rPr>
          <w:rFonts w:ascii="Arial" w:hAnsi="Arial"/>
          <w:color w:val="1F3864" w:themeColor="accent1" w:themeShade="80"/>
          <w:sz w:val="20"/>
          <w:szCs w:val="20"/>
        </w:rPr>
        <w:t>Aim</w:t>
      </w:r>
      <w:proofErr w:type="spellEnd"/>
      <w:r w:rsidRPr="003D48DB">
        <w:rPr>
          <w:rFonts w:ascii="Arial" w:hAnsi="Arial"/>
          <w:color w:val="1F3864" w:themeColor="accent1" w:themeShade="80"/>
          <w:sz w:val="20"/>
          <w:szCs w:val="20"/>
        </w:rPr>
        <w:t xml:space="preserve">, </w:t>
      </w:r>
      <w:proofErr w:type="spellStart"/>
      <w:r w:rsidRPr="003D48DB">
        <w:rPr>
          <w:rFonts w:ascii="Arial" w:hAnsi="Arial"/>
          <w:color w:val="1F3864" w:themeColor="accent1" w:themeShade="80"/>
          <w:sz w:val="20"/>
          <w:szCs w:val="20"/>
        </w:rPr>
        <w:t>Learn</w:t>
      </w:r>
      <w:proofErr w:type="spellEnd"/>
      <w:r w:rsidRPr="003D48DB">
        <w:rPr>
          <w:rFonts w:ascii="Arial" w:hAnsi="Arial"/>
          <w:color w:val="1F3864" w:themeColor="accent1" w:themeShade="80"/>
          <w:sz w:val="20"/>
          <w:szCs w:val="20"/>
        </w:rPr>
        <w:t xml:space="preserve">, </w:t>
      </w:r>
      <w:proofErr w:type="spellStart"/>
      <w:r w:rsidRPr="003D48DB">
        <w:rPr>
          <w:rFonts w:ascii="Arial" w:hAnsi="Arial"/>
          <w:color w:val="1F3864" w:themeColor="accent1" w:themeShade="80"/>
          <w:sz w:val="20"/>
          <w:szCs w:val="20"/>
        </w:rPr>
        <w:t>Master</w:t>
      </w:r>
      <w:proofErr w:type="spellEnd"/>
      <w:r w:rsidRPr="003D48DB">
        <w:rPr>
          <w:rFonts w:ascii="Arial" w:hAnsi="Arial"/>
          <w:color w:val="1F3864" w:themeColor="accent1" w:themeShade="80"/>
          <w:sz w:val="20"/>
          <w:szCs w:val="20"/>
        </w:rPr>
        <w:t xml:space="preserve">, </w:t>
      </w:r>
      <w:proofErr w:type="spellStart"/>
      <w:r w:rsidRPr="003D48DB">
        <w:rPr>
          <w:rFonts w:ascii="Arial" w:hAnsi="Arial"/>
          <w:color w:val="1F3864" w:themeColor="accent1" w:themeShade="80"/>
          <w:sz w:val="20"/>
          <w:szCs w:val="20"/>
        </w:rPr>
        <w:t>Achieve</w:t>
      </w:r>
      <w:proofErr w:type="spellEnd"/>
      <w:r w:rsidRPr="003D48DB">
        <w:rPr>
          <w:rFonts w:ascii="Arial" w:hAnsi="Arial"/>
          <w:color w:val="1F3864" w:themeColor="accent1" w:themeShade="80"/>
          <w:sz w:val="20"/>
          <w:szCs w:val="20"/>
        </w:rPr>
        <w:t xml:space="preserve">“), katere cilj je prikrajšane mlade podpreti pri vključevanju na trg dela ali v nadaljnje izobraževanje. Osem držav članic pa se je že zavezalo, da bodo pobudi ALMA (po sedanjih ocenah) namenile okoli 270 milijonov evrov v okviru svojih programov Evropskega socialnega sklada plus (ESS+). </w:t>
      </w:r>
    </w:p>
    <w:p w14:paraId="40F96DE8" w14:textId="77777777" w:rsidR="00A7456E" w:rsidRPr="003D48DB" w:rsidRDefault="00A7456E" w:rsidP="00A7456E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3BFA35D9" w14:textId="77777777" w:rsidR="00A7456E" w:rsidRPr="003D48DB" w:rsidRDefault="00A7456E" w:rsidP="00A7456E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Več:</w:t>
      </w:r>
    </w:p>
    <w:p w14:paraId="08F09423" w14:textId="77777777" w:rsidR="00A7456E" w:rsidRPr="003D48DB" w:rsidRDefault="00A7456E" w:rsidP="00A7456E">
      <w:pPr>
        <w:jc w:val="both"/>
        <w:rPr>
          <w:rFonts w:ascii="Arial" w:hAnsi="Arial"/>
          <w:color w:val="FFC000"/>
          <w:sz w:val="20"/>
          <w:szCs w:val="20"/>
        </w:rPr>
      </w:pPr>
      <w:hyperlink r:id="rId33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Spletna stran z informacijami o pobudi</w:t>
        </w:r>
      </w:hyperlink>
    </w:p>
    <w:p w14:paraId="0C50A4CC" w14:textId="0CCEDA0A" w:rsidR="00FC6424" w:rsidRPr="003D48DB" w:rsidRDefault="00FC6424" w:rsidP="004E1E67">
      <w:pPr>
        <w:rPr>
          <w:color w:val="1F3864" w:themeColor="accent1" w:themeShade="80"/>
        </w:rPr>
      </w:pPr>
    </w:p>
    <w:p w14:paraId="768F6063" w14:textId="4F308884" w:rsidR="00FC6424" w:rsidRDefault="00FC6424" w:rsidP="004E1E67">
      <w:pPr>
        <w:rPr>
          <w:color w:val="1F3864" w:themeColor="accent1" w:themeShade="80"/>
        </w:rPr>
      </w:pPr>
    </w:p>
    <w:p w14:paraId="13F21EED" w14:textId="15F26B20" w:rsidR="00F31351" w:rsidRPr="003D48DB" w:rsidRDefault="00F31351" w:rsidP="004E1E67">
      <w:pPr>
        <w:rPr>
          <w:color w:val="1F3864" w:themeColor="accent1" w:themeShade="80"/>
        </w:rPr>
      </w:pPr>
      <w:r>
        <w:object w:dxaOrig="2670" w:dyaOrig="1070" w14:anchorId="5C768C23">
          <v:shape id="_x0000_i1058" type="#_x0000_t75" style="width:203.5pt;height:81.5pt" o:ole="">
            <v:imagedata r:id="rId34" o:title=""/>
          </v:shape>
          <o:OLEObject Type="Embed" ProgID="Paint.Picture" ShapeID="_x0000_i1058" DrawAspect="Content" ObjectID="_1714914896" r:id="rId35"/>
        </w:object>
      </w:r>
    </w:p>
    <w:p w14:paraId="7450067F" w14:textId="77777777" w:rsidR="0015409E" w:rsidRPr="003D48DB" w:rsidRDefault="0015409E" w:rsidP="0015409E">
      <w:pPr>
        <w:jc w:val="both"/>
        <w:rPr>
          <w:rFonts w:ascii="Arial" w:hAnsi="Arial"/>
          <w:b/>
          <w:bCs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b/>
          <w:bCs/>
          <w:color w:val="1F3864" w:themeColor="accent1" w:themeShade="80"/>
          <w:sz w:val="20"/>
          <w:szCs w:val="20"/>
        </w:rPr>
        <w:lastRenderedPageBreak/>
        <w:t>Vzpostavljena je nova komunikacijska platforma za trajnostno modro gospodarstvo</w:t>
      </w:r>
    </w:p>
    <w:p w14:paraId="3D1621BC" w14:textId="77777777" w:rsidR="0015409E" w:rsidRPr="003D48DB" w:rsidRDefault="0015409E" w:rsidP="0015409E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1518FCD8" w14:textId="77777777" w:rsidR="0015409E" w:rsidRPr="003D48DB" w:rsidRDefault="0015409E" w:rsidP="0015409E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 xml:space="preserve">Evropska komisija je vzpostavila Opazovalnico modrega gospodarstva EU kot novo komunikacijsko platformo za trajnostno modro </w:t>
      </w:r>
      <w:r w:rsidRPr="003D48DB">
        <w:rPr>
          <w:rFonts w:ascii="Arial" w:hAnsi="Arial"/>
          <w:color w:val="1F3864" w:themeColor="accent1" w:themeShade="80"/>
          <w:sz w:val="20"/>
          <w:szCs w:val="20"/>
        </w:rPr>
        <w:t>gospodarstvo. Na enem mestu so na voljo dejavnosti, povezane z oceani, najnovejši socialno-ekonomski in znanstveni podatki, tržne informacije in trenutni trendi.</w:t>
      </w:r>
    </w:p>
    <w:p w14:paraId="7AA8B23F" w14:textId="77777777" w:rsidR="0015409E" w:rsidRPr="003D48DB" w:rsidRDefault="0015409E" w:rsidP="0015409E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</w:p>
    <w:p w14:paraId="34CB1B8A" w14:textId="77777777" w:rsidR="0015409E" w:rsidRPr="003D48DB" w:rsidRDefault="0015409E" w:rsidP="0015409E">
      <w:pPr>
        <w:jc w:val="both"/>
        <w:rPr>
          <w:rFonts w:ascii="Arial" w:hAnsi="Arial"/>
          <w:color w:val="1F3864" w:themeColor="accent1" w:themeShade="80"/>
          <w:sz w:val="20"/>
          <w:szCs w:val="20"/>
        </w:rPr>
      </w:pPr>
      <w:r w:rsidRPr="003D48DB">
        <w:rPr>
          <w:rFonts w:ascii="Arial" w:hAnsi="Arial"/>
          <w:color w:val="1F3864" w:themeColor="accent1" w:themeShade="80"/>
          <w:sz w:val="20"/>
          <w:szCs w:val="20"/>
        </w:rPr>
        <w:t>Vrč:</w:t>
      </w:r>
    </w:p>
    <w:p w14:paraId="6EEC5253" w14:textId="77777777" w:rsidR="0015409E" w:rsidRPr="003D48DB" w:rsidRDefault="0015409E" w:rsidP="0015409E">
      <w:pPr>
        <w:jc w:val="both"/>
        <w:rPr>
          <w:rFonts w:ascii="Arial" w:hAnsi="Arial"/>
          <w:color w:val="FFC000"/>
          <w:sz w:val="20"/>
          <w:szCs w:val="20"/>
        </w:rPr>
      </w:pPr>
      <w:hyperlink r:id="rId36" w:history="1">
        <w:r w:rsidRPr="003D48DB">
          <w:rPr>
            <w:rStyle w:val="Hyperlink"/>
            <w:rFonts w:ascii="Arial" w:hAnsi="Arial"/>
            <w:color w:val="FFC000"/>
            <w:sz w:val="20"/>
            <w:szCs w:val="20"/>
          </w:rPr>
          <w:t>Platforma</w:t>
        </w:r>
      </w:hyperlink>
    </w:p>
    <w:p w14:paraId="288B3F8E" w14:textId="77777777" w:rsidR="00710078" w:rsidRPr="003D48DB" w:rsidRDefault="00710078" w:rsidP="004E1E67">
      <w:pPr>
        <w:rPr>
          <w:color w:val="1F3864" w:themeColor="accent1" w:themeShade="80"/>
        </w:rPr>
        <w:sectPr w:rsidR="00710078" w:rsidRPr="003D48DB" w:rsidSect="00710078">
          <w:headerReference w:type="first" r:id="rId37"/>
          <w:pgSz w:w="11906" w:h="16838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14:paraId="3EEF0C32" w14:textId="77777777" w:rsidR="00A7456E" w:rsidRPr="003D48DB" w:rsidRDefault="00A7456E" w:rsidP="004E1E67">
      <w:pPr>
        <w:rPr>
          <w:color w:val="1F3864" w:themeColor="accent1" w:themeShade="80"/>
        </w:rPr>
      </w:pPr>
    </w:p>
    <w:sectPr w:rsidR="00A7456E" w:rsidRPr="003D48DB" w:rsidSect="00710078"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1BF26" w14:textId="77777777" w:rsidR="0062413B" w:rsidRDefault="0062413B" w:rsidP="00AB1F97">
      <w:r>
        <w:separator/>
      </w:r>
    </w:p>
  </w:endnote>
  <w:endnote w:type="continuationSeparator" w:id="0">
    <w:p w14:paraId="0990018F" w14:textId="77777777" w:rsidR="0062413B" w:rsidRDefault="0062413B" w:rsidP="00AB1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0822E" w14:textId="77777777" w:rsidR="0062413B" w:rsidRDefault="0062413B" w:rsidP="00AB1F97">
      <w:r>
        <w:separator/>
      </w:r>
    </w:p>
  </w:footnote>
  <w:footnote w:type="continuationSeparator" w:id="0">
    <w:p w14:paraId="0E7A7499" w14:textId="77777777" w:rsidR="0062413B" w:rsidRDefault="0062413B" w:rsidP="00AB1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5B595" w14:textId="1ECE3ED7" w:rsidR="00AB1F97" w:rsidRDefault="00AB1F97" w:rsidP="00AB1F97">
    <w:pPr>
      <w:pStyle w:val="Header"/>
      <w:jc w:val="center"/>
    </w:pPr>
    <w:r>
      <w:object w:dxaOrig="9540" w:dyaOrig="4350" w14:anchorId="6376B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401.5pt;height:183.5pt" o:ole="">
          <v:imagedata r:id="rId1" o:title=""/>
        </v:shape>
        <o:OLEObject Type="Embed" ProgID="Paint.Picture" ShapeID="_x0000_i1032" DrawAspect="Content" ObjectID="_171491489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5B"/>
    <w:rsid w:val="00116928"/>
    <w:rsid w:val="0015409E"/>
    <w:rsid w:val="003123B2"/>
    <w:rsid w:val="003D48DB"/>
    <w:rsid w:val="004E1E67"/>
    <w:rsid w:val="00593248"/>
    <w:rsid w:val="0062413B"/>
    <w:rsid w:val="00710078"/>
    <w:rsid w:val="00775FAB"/>
    <w:rsid w:val="007B735B"/>
    <w:rsid w:val="00894B9F"/>
    <w:rsid w:val="009D01A6"/>
    <w:rsid w:val="00A7456E"/>
    <w:rsid w:val="00A97116"/>
    <w:rsid w:val="00AA1A26"/>
    <w:rsid w:val="00AB1F97"/>
    <w:rsid w:val="00B1598B"/>
    <w:rsid w:val="00D347F8"/>
    <w:rsid w:val="00E074D4"/>
    <w:rsid w:val="00EA68AE"/>
    <w:rsid w:val="00F31351"/>
    <w:rsid w:val="00FC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C30A48"/>
  <w15:chartTrackingRefBased/>
  <w15:docId w15:val="{D994D104-5E0D-4B82-BD08-92FE0B4C5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E67"/>
    <w:pPr>
      <w:spacing w:after="0" w:line="240" w:lineRule="auto"/>
    </w:pPr>
    <w:rPr>
      <w:rFonts w:ascii="Times New Roman" w:eastAsia="NSimSun" w:hAnsi="Times New Roman" w:cs="Arial"/>
      <w:kern w:val="2"/>
      <w:sz w:val="24"/>
      <w:szCs w:val="24"/>
      <w:lang w:val="sl-SI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1E6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1F9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B1F97"/>
    <w:rPr>
      <w:rFonts w:ascii="Times New Roman" w:eastAsia="NSimSun" w:hAnsi="Times New Roman" w:cs="Mangal"/>
      <w:kern w:val="2"/>
      <w:sz w:val="24"/>
      <w:szCs w:val="21"/>
      <w:lang w:val="sl-SI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AB1F9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B1F97"/>
    <w:rPr>
      <w:rFonts w:ascii="Times New Roman" w:eastAsia="NSimSun" w:hAnsi="Times New Roman" w:cs="Mangal"/>
      <w:kern w:val="2"/>
      <w:sz w:val="24"/>
      <w:szCs w:val="21"/>
      <w:lang w:val="sl-SI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.europa.eu/home-affairs/proposal-directive-european-parliament-and-council-status-third-country-nationals-long-term_sl" TargetMode="Externa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9" Type="http://schemas.openxmlformats.org/officeDocument/2006/relationships/theme" Target="theme/theme1.xml"/><Relationship Id="rId21" Type="http://schemas.openxmlformats.org/officeDocument/2006/relationships/oleObject" Target="embeddings/oleObject5.bin"/><Relationship Id="rId34" Type="http://schemas.openxmlformats.org/officeDocument/2006/relationships/image" Target="media/image10.png"/><Relationship Id="rId7" Type="http://schemas.openxmlformats.org/officeDocument/2006/relationships/oleObject" Target="embeddings/oleObject1.bin"/><Relationship Id="rId12" Type="http://schemas.openxmlformats.org/officeDocument/2006/relationships/hyperlink" Target="https://ec.europa.eu/home-affairs/communication-attracting-skills-and-talent-eu_s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hyperlink" Target="https://ec.europa.eu/social/main.jsp?catId=1549&amp;langId=sl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ec.europa.eu/transparency/documents-register/detail?ref=COM(2022)195&amp;lang=sl" TargetMode="External"/><Relationship Id="rId20" Type="http://schemas.openxmlformats.org/officeDocument/2006/relationships/image" Target="media/image5.png"/><Relationship Id="rId29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c.europa.eu/home-affairs/proposal-directive-single-application-procedure-single-permit-third-country-nationals-reside-work_en" TargetMode="External"/><Relationship Id="rId24" Type="http://schemas.openxmlformats.org/officeDocument/2006/relationships/hyperlink" Target="https://www.esma.europa.eu/sites/default/files/library/esma35-42-1227_final_report_on_technical_advice_on_ec_retail_investments_strategy.pdf" TargetMode="External"/><Relationship Id="rId32" Type="http://schemas.openxmlformats.org/officeDocument/2006/relationships/oleObject" Target="embeddings/oleObject8.bin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36" Type="http://schemas.openxmlformats.org/officeDocument/2006/relationships/hyperlink" Target="https://blue-economy-observatory.ec.europa.eu/index_sl" TargetMode="External"/><Relationship Id="rId10" Type="http://schemas.openxmlformats.org/officeDocument/2006/relationships/oleObject" Target="embeddings/oleObject2.bin"/><Relationship Id="rId19" Type="http://schemas.openxmlformats.org/officeDocument/2006/relationships/hyperlink" Target="https://ec.europa.eu/info/law/better-regulation/have-your-say/initiatives/13174-Trajnostni-prehranski-sistem-EU-nova-pobuda_sl" TargetMode="External"/><Relationship Id="rId31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s://curia.europa.eu/juris/documents.jsf?oqp=&amp;for=&amp;mat=or&amp;lgrec=en&amp;jge=&amp;td=%3BALL&amp;jur=C%2CT%2CF&amp;num=C-179%252F21&amp;page=1&amp;dates=&amp;pcs=Oor&amp;lg=&amp;pro=&amp;nat=or&amp;cit=none%252CC%252CCJ%252CR%252C2008E%252C%252C%252C%252C%252C%252C%252C%252C%252C%252Ctrue%252Cfalse%25" TargetMode="External"/><Relationship Id="rId27" Type="http://schemas.openxmlformats.org/officeDocument/2006/relationships/hyperlink" Target="https://ec.europa.eu/taxation_customs/system/files/2022-05/COM_2022_216_1_EN_ACT_part1_v6.pdf" TargetMode="External"/><Relationship Id="rId30" Type="http://schemas.openxmlformats.org/officeDocument/2006/relationships/hyperlink" Target="https://ec.europa.eu/info/files/proposal-amending-rules-concerning-financial-services-contracts-concluded-distance_sl" TargetMode="External"/><Relationship Id="rId35" Type="http://schemas.openxmlformats.org/officeDocument/2006/relationships/oleObject" Target="embeddings/oleObject9.bin"/><Relationship Id="rId8" Type="http://schemas.openxmlformats.org/officeDocument/2006/relationships/hyperlink" Target="https://curia.europa.eu/juris/documents.jsf?oqp=&amp;for=&amp;mat=or&amp;lgrec=en&amp;jge=&amp;td=%3BALL&amp;jur=C%2CT%2CF&amp;num=C-86%252F20&amp;page=1&amp;dates=&amp;pcs=Oor&amp;lg=&amp;pro=&amp;nat=or&amp;cit=none%252CC%252CCJ%252CR%252C2008E%252C%252C%252C%252C%252C%252C%252C%252C%252C%252Ctrue%252Cfalse%252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0.bin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Bostjan Sinkovec</dc:creator>
  <cp:keywords/>
  <dc:description/>
  <cp:lastModifiedBy>Bostjan Sinkovec</cp:lastModifiedBy>
  <cp:revision>17</cp:revision>
  <dcterms:created xsi:type="dcterms:W3CDTF">2022-05-24T08:52:00Z</dcterms:created>
  <dcterms:modified xsi:type="dcterms:W3CDTF">2022-05-24T14:27:00Z</dcterms:modified>
</cp:coreProperties>
</file>