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E1683" w14:textId="69E4194F" w:rsidR="00EF556F" w:rsidRPr="00C5216E" w:rsidRDefault="00EF556F" w:rsidP="0014004A">
      <w:pPr>
        <w:jc w:val="both"/>
        <w:rPr>
          <w:rFonts w:ascii="Arial" w:hAnsi="Arial"/>
          <w:b/>
          <w:bCs/>
          <w:color w:val="1F3864" w:themeColor="accent1" w:themeShade="80"/>
          <w:sz w:val="20"/>
          <w:szCs w:val="20"/>
        </w:rPr>
      </w:pPr>
      <w:r w:rsidRPr="00C5216E">
        <w:rPr>
          <w:color w:val="1F3864" w:themeColor="accent1" w:themeShade="80"/>
        </w:rPr>
        <w:object w:dxaOrig="2670" w:dyaOrig="1070" w14:anchorId="6C29D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81.5pt" o:ole="">
            <v:imagedata r:id="rId6" o:title=""/>
          </v:shape>
          <o:OLEObject Type="Embed" ProgID="Paint.Picture" ShapeID="_x0000_i1025" DrawAspect="Content" ObjectID="_1712669061" r:id="rId7"/>
        </w:object>
      </w:r>
    </w:p>
    <w:p w14:paraId="09CBF38D" w14:textId="53728724" w:rsidR="0014004A" w:rsidRPr="00C5216E" w:rsidRDefault="0014004A" w:rsidP="0014004A">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Pospeševalnik za modro rast GALATEA podpira 42 inovativnih malih in srednjih podjetij</w:t>
      </w:r>
    </w:p>
    <w:p w14:paraId="704B1A1F" w14:textId="77777777" w:rsidR="0014004A" w:rsidRPr="00C5216E" w:rsidRDefault="0014004A" w:rsidP="0014004A">
      <w:pPr>
        <w:jc w:val="both"/>
        <w:rPr>
          <w:rFonts w:ascii="Arial" w:hAnsi="Arial"/>
          <w:color w:val="1F3864" w:themeColor="accent1" w:themeShade="80"/>
          <w:sz w:val="20"/>
          <w:szCs w:val="20"/>
        </w:rPr>
      </w:pPr>
    </w:p>
    <w:p w14:paraId="0C36166B" w14:textId="77777777" w:rsidR="0014004A" w:rsidRPr="00C5216E" w:rsidRDefault="0014004A" w:rsidP="0014004A">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Pospeševalnik za modro rast GALATEA, katerega cilj je podpreti inovativne projekte in razviti medsektorske in čezmejne vrednostne verige, podpira 42 inovativnih malih in srednjih podjetij. Razpis za podjetja, ki bi želela dobiti svetovalne storitve pospeševalnika, je odprt še do 30. septembra.</w:t>
      </w:r>
    </w:p>
    <w:p w14:paraId="1206C3CA" w14:textId="77777777" w:rsidR="0014004A" w:rsidRPr="00C5216E" w:rsidRDefault="0014004A" w:rsidP="0014004A">
      <w:pPr>
        <w:jc w:val="both"/>
        <w:rPr>
          <w:rFonts w:ascii="Arial" w:hAnsi="Arial"/>
          <w:color w:val="1F3864" w:themeColor="accent1" w:themeShade="80"/>
          <w:sz w:val="20"/>
          <w:szCs w:val="20"/>
        </w:rPr>
      </w:pPr>
    </w:p>
    <w:p w14:paraId="2891E9B6" w14:textId="77777777" w:rsidR="0014004A" w:rsidRPr="00C5216E" w:rsidRDefault="0014004A" w:rsidP="0014004A">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00BFAFFB" w14:textId="77777777" w:rsidR="0014004A" w:rsidRPr="00C5216E" w:rsidRDefault="003947AF" w:rsidP="0014004A">
      <w:pPr>
        <w:jc w:val="both"/>
        <w:rPr>
          <w:rFonts w:ascii="Arial" w:hAnsi="Arial"/>
          <w:color w:val="FFC000"/>
          <w:sz w:val="20"/>
          <w:szCs w:val="20"/>
        </w:rPr>
      </w:pPr>
      <w:hyperlink r:id="rId8" w:history="1">
        <w:r w:rsidR="0014004A" w:rsidRPr="00C5216E">
          <w:rPr>
            <w:rStyle w:val="Hyperlink"/>
            <w:rFonts w:ascii="Arial" w:hAnsi="Arial"/>
            <w:color w:val="FFC000"/>
            <w:sz w:val="20"/>
            <w:szCs w:val="20"/>
          </w:rPr>
          <w:t>Spletna stran GALATEA</w:t>
        </w:r>
      </w:hyperlink>
    </w:p>
    <w:p w14:paraId="54CEE0E3" w14:textId="77777777" w:rsidR="0014004A" w:rsidRPr="00C5216E" w:rsidRDefault="0014004A" w:rsidP="0014004A">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in</w:t>
      </w:r>
    </w:p>
    <w:p w14:paraId="6AC535AE" w14:textId="582EDCAE" w:rsidR="008C0B48" w:rsidRPr="00C5216E" w:rsidRDefault="003947AF" w:rsidP="00FE628F">
      <w:pPr>
        <w:jc w:val="both"/>
        <w:rPr>
          <w:rFonts w:ascii="Arial" w:hAnsi="Arial"/>
          <w:color w:val="FFC000"/>
          <w:sz w:val="20"/>
          <w:szCs w:val="20"/>
        </w:rPr>
      </w:pPr>
      <w:hyperlink r:id="rId9" w:history="1">
        <w:r w:rsidR="0014004A" w:rsidRPr="00C5216E">
          <w:rPr>
            <w:rStyle w:val="Hyperlink"/>
            <w:rFonts w:ascii="Arial" w:hAnsi="Arial"/>
            <w:color w:val="FFC000"/>
            <w:sz w:val="20"/>
            <w:szCs w:val="20"/>
          </w:rPr>
          <w:t>Razpis</w:t>
        </w:r>
      </w:hyperlink>
    </w:p>
    <w:p w14:paraId="39DC5D80" w14:textId="08541CF2" w:rsidR="008C0B48" w:rsidRDefault="008C0B48" w:rsidP="00FE628F">
      <w:pPr>
        <w:jc w:val="both"/>
        <w:rPr>
          <w:rFonts w:ascii="Arial" w:hAnsi="Arial"/>
          <w:b/>
          <w:bCs/>
          <w:color w:val="1F3864" w:themeColor="accent1" w:themeShade="80"/>
          <w:sz w:val="20"/>
          <w:szCs w:val="20"/>
        </w:rPr>
      </w:pPr>
    </w:p>
    <w:p w14:paraId="1DE72D48" w14:textId="77777777" w:rsidR="00AA088C" w:rsidRPr="00C5216E" w:rsidRDefault="00AA088C" w:rsidP="00FE628F">
      <w:pPr>
        <w:jc w:val="both"/>
        <w:rPr>
          <w:rFonts w:ascii="Arial" w:hAnsi="Arial"/>
          <w:b/>
          <w:bCs/>
          <w:color w:val="1F3864" w:themeColor="accent1" w:themeShade="80"/>
          <w:sz w:val="20"/>
          <w:szCs w:val="20"/>
        </w:rPr>
      </w:pPr>
    </w:p>
    <w:p w14:paraId="5394AD5F" w14:textId="5E19401C" w:rsidR="0014004A" w:rsidRPr="00C5216E" w:rsidRDefault="00CD6846" w:rsidP="00FE628F">
      <w:pPr>
        <w:jc w:val="both"/>
        <w:rPr>
          <w:rFonts w:ascii="Arial" w:hAnsi="Arial"/>
          <w:b/>
          <w:bCs/>
          <w:color w:val="1F3864" w:themeColor="accent1" w:themeShade="80"/>
          <w:sz w:val="20"/>
          <w:szCs w:val="20"/>
        </w:rPr>
      </w:pPr>
      <w:r w:rsidRPr="00C5216E">
        <w:rPr>
          <w:color w:val="1F3864" w:themeColor="accent1" w:themeShade="80"/>
        </w:rPr>
        <w:object w:dxaOrig="2670" w:dyaOrig="1070" w14:anchorId="38E87BE8">
          <v:shape id="_x0000_i1026" type="#_x0000_t75" style="width:206pt;height:82.5pt" o:ole="">
            <v:imagedata r:id="rId10" o:title=""/>
          </v:shape>
          <o:OLEObject Type="Embed" ProgID="Paint.Picture" ShapeID="_x0000_i1026" DrawAspect="Content" ObjectID="_1712669062" r:id="rId11"/>
        </w:object>
      </w:r>
    </w:p>
    <w:p w14:paraId="366A8FD4" w14:textId="082A2330" w:rsidR="00FE628F" w:rsidRPr="00C5216E" w:rsidRDefault="00FE628F" w:rsidP="00FE628F">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Povabilo za pridružitev forumu civilne družbe in skupnemu forumu za industrijsko sodelovanje</w:t>
      </w:r>
    </w:p>
    <w:p w14:paraId="311C99CC" w14:textId="77777777" w:rsidR="00FE628F" w:rsidRPr="00C5216E" w:rsidRDefault="00FE628F" w:rsidP="00FE628F">
      <w:pPr>
        <w:jc w:val="both"/>
        <w:rPr>
          <w:rFonts w:ascii="Arial" w:hAnsi="Arial"/>
          <w:color w:val="1F3864" w:themeColor="accent1" w:themeShade="80"/>
          <w:sz w:val="20"/>
          <w:szCs w:val="20"/>
        </w:rPr>
      </w:pPr>
    </w:p>
    <w:p w14:paraId="31450286" w14:textId="77777777" w:rsidR="00FE628F" w:rsidRPr="00C5216E" w:rsidRDefault="00FE628F" w:rsidP="00FE628F">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 xml:space="preserve">Evropski organ za pripravljenost in odzivanje na izredne zdravstvene razmere (HERA) vabi predstavnike civilne družbe in industrije, da se pridružijo forumu civilne družbe in skupnemu forumu za industrijsko sodelovanje. </w:t>
      </w:r>
    </w:p>
    <w:p w14:paraId="3F7E993C" w14:textId="77777777" w:rsidR="00FE628F" w:rsidRPr="00C5216E" w:rsidRDefault="00FE628F" w:rsidP="00FE628F">
      <w:pPr>
        <w:jc w:val="both"/>
        <w:rPr>
          <w:rFonts w:ascii="Arial" w:hAnsi="Arial"/>
          <w:color w:val="1F3864" w:themeColor="accent1" w:themeShade="80"/>
          <w:sz w:val="20"/>
          <w:szCs w:val="20"/>
        </w:rPr>
      </w:pPr>
    </w:p>
    <w:p w14:paraId="76C9625E" w14:textId="77777777" w:rsidR="00FE628F" w:rsidRPr="00C5216E" w:rsidRDefault="00FE628F" w:rsidP="00FE628F">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02DCC5A2" w14:textId="18D4DA07" w:rsidR="001E0747" w:rsidRPr="00C5216E" w:rsidRDefault="003947AF" w:rsidP="00C5216E">
      <w:pPr>
        <w:jc w:val="both"/>
        <w:rPr>
          <w:rFonts w:ascii="Arial" w:hAnsi="Arial"/>
          <w:color w:val="FFC000"/>
          <w:sz w:val="20"/>
          <w:szCs w:val="20"/>
        </w:rPr>
      </w:pPr>
      <w:hyperlink r:id="rId12" w:history="1">
        <w:r w:rsidR="00FE628F" w:rsidRPr="00C5216E">
          <w:rPr>
            <w:rStyle w:val="Hyperlink"/>
            <w:rFonts w:ascii="Arial" w:hAnsi="Arial"/>
            <w:color w:val="FFC000"/>
            <w:sz w:val="20"/>
            <w:szCs w:val="20"/>
          </w:rPr>
          <w:t>Vabilo</w:t>
        </w:r>
      </w:hyperlink>
    </w:p>
    <w:p w14:paraId="3E30DFBA" w14:textId="5B087A63" w:rsidR="00CD6846" w:rsidRPr="00C5216E" w:rsidRDefault="00CD6846" w:rsidP="00FB48BC">
      <w:pPr>
        <w:jc w:val="both"/>
        <w:rPr>
          <w:rFonts w:ascii="Arial" w:hAnsi="Arial"/>
          <w:b/>
          <w:bCs/>
          <w:color w:val="1F3864" w:themeColor="accent1" w:themeShade="80"/>
          <w:sz w:val="20"/>
          <w:szCs w:val="20"/>
        </w:rPr>
      </w:pPr>
      <w:r w:rsidRPr="00C5216E">
        <w:rPr>
          <w:color w:val="1F3864" w:themeColor="accent1" w:themeShade="80"/>
        </w:rPr>
        <w:object w:dxaOrig="2670" w:dyaOrig="1070" w14:anchorId="06982F50">
          <v:shape id="_x0000_i1027" type="#_x0000_t75" style="width:204.5pt;height:82pt" o:ole="">
            <v:imagedata r:id="rId13" o:title=""/>
          </v:shape>
          <o:OLEObject Type="Embed" ProgID="Paint.Picture" ShapeID="_x0000_i1027" DrawAspect="Content" ObjectID="_1712669063" r:id="rId14"/>
        </w:object>
      </w:r>
    </w:p>
    <w:p w14:paraId="6DECBA7F" w14:textId="09BD4C9D" w:rsidR="00FB48BC" w:rsidRPr="00C5216E" w:rsidRDefault="00FB48BC" w:rsidP="00FB48BC">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 xml:space="preserve">Vzpostavljen je premoženjski sklad </w:t>
      </w:r>
      <w:proofErr w:type="spellStart"/>
      <w:r w:rsidRPr="00C5216E">
        <w:rPr>
          <w:rFonts w:ascii="Arial" w:hAnsi="Arial"/>
          <w:b/>
          <w:bCs/>
          <w:color w:val="1F3864" w:themeColor="accent1" w:themeShade="80"/>
          <w:sz w:val="20"/>
          <w:szCs w:val="20"/>
        </w:rPr>
        <w:t>InvestEU</w:t>
      </w:r>
      <w:proofErr w:type="spellEnd"/>
      <w:r w:rsidRPr="00C5216E">
        <w:rPr>
          <w:rFonts w:ascii="Arial" w:hAnsi="Arial"/>
          <w:b/>
          <w:bCs/>
          <w:color w:val="1F3864" w:themeColor="accent1" w:themeShade="80"/>
          <w:sz w:val="20"/>
          <w:szCs w:val="20"/>
        </w:rPr>
        <w:t xml:space="preserve"> </w:t>
      </w:r>
      <w:proofErr w:type="spellStart"/>
      <w:r w:rsidRPr="00C5216E">
        <w:rPr>
          <w:rFonts w:ascii="Arial" w:hAnsi="Arial"/>
          <w:b/>
          <w:bCs/>
          <w:color w:val="1F3864" w:themeColor="accent1" w:themeShade="80"/>
          <w:sz w:val="20"/>
          <w:szCs w:val="20"/>
        </w:rPr>
        <w:t>Blue</w:t>
      </w:r>
      <w:proofErr w:type="spellEnd"/>
      <w:r w:rsidRPr="00C5216E">
        <w:rPr>
          <w:rFonts w:ascii="Arial" w:hAnsi="Arial"/>
          <w:b/>
          <w:bCs/>
          <w:color w:val="1F3864" w:themeColor="accent1" w:themeShade="80"/>
          <w:sz w:val="20"/>
          <w:szCs w:val="20"/>
        </w:rPr>
        <w:t xml:space="preserve"> </w:t>
      </w:r>
      <w:proofErr w:type="spellStart"/>
      <w:r w:rsidRPr="00C5216E">
        <w:rPr>
          <w:rFonts w:ascii="Arial" w:hAnsi="Arial"/>
          <w:b/>
          <w:bCs/>
          <w:color w:val="1F3864" w:themeColor="accent1" w:themeShade="80"/>
          <w:sz w:val="20"/>
          <w:szCs w:val="20"/>
        </w:rPr>
        <w:t>Economy</w:t>
      </w:r>
      <w:proofErr w:type="spellEnd"/>
    </w:p>
    <w:p w14:paraId="2DBB7BEB" w14:textId="77777777" w:rsidR="00FB48BC" w:rsidRPr="00C5216E" w:rsidRDefault="00FB48BC" w:rsidP="00FB48BC">
      <w:pPr>
        <w:jc w:val="both"/>
        <w:rPr>
          <w:rFonts w:ascii="Arial" w:hAnsi="Arial"/>
          <w:color w:val="1F3864" w:themeColor="accent1" w:themeShade="80"/>
          <w:sz w:val="20"/>
          <w:szCs w:val="20"/>
        </w:rPr>
      </w:pPr>
    </w:p>
    <w:p w14:paraId="0C8DC1DD" w14:textId="618A7822" w:rsidR="00FB48BC" w:rsidRPr="00C5216E" w:rsidRDefault="00FB48BC" w:rsidP="00FB48BC">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 xml:space="preserve">Evropska komisija in Evropska investicijska banka sta vzpostavili premoženjski sklad </w:t>
      </w:r>
      <w:proofErr w:type="spellStart"/>
      <w:r w:rsidRPr="00C5216E">
        <w:rPr>
          <w:rFonts w:ascii="Arial" w:hAnsi="Arial"/>
          <w:color w:val="1F3864" w:themeColor="accent1" w:themeShade="80"/>
          <w:sz w:val="20"/>
          <w:szCs w:val="20"/>
        </w:rPr>
        <w:t>InvestEU</w:t>
      </w:r>
      <w:proofErr w:type="spellEnd"/>
      <w:r w:rsidRPr="00C5216E">
        <w:rPr>
          <w:rFonts w:ascii="Arial" w:hAnsi="Arial"/>
          <w:color w:val="1F3864" w:themeColor="accent1" w:themeShade="80"/>
          <w:sz w:val="20"/>
          <w:szCs w:val="20"/>
        </w:rPr>
        <w:t xml:space="preserve"> </w:t>
      </w:r>
      <w:proofErr w:type="spellStart"/>
      <w:r w:rsidRPr="00C5216E">
        <w:rPr>
          <w:rFonts w:ascii="Arial" w:hAnsi="Arial"/>
          <w:color w:val="1F3864" w:themeColor="accent1" w:themeShade="80"/>
          <w:sz w:val="20"/>
          <w:szCs w:val="20"/>
        </w:rPr>
        <w:t>Blue</w:t>
      </w:r>
      <w:proofErr w:type="spellEnd"/>
      <w:r w:rsidRPr="00C5216E">
        <w:rPr>
          <w:rFonts w:ascii="Arial" w:hAnsi="Arial"/>
          <w:color w:val="1F3864" w:themeColor="accent1" w:themeShade="80"/>
          <w:sz w:val="20"/>
          <w:szCs w:val="20"/>
        </w:rPr>
        <w:t xml:space="preserve"> </w:t>
      </w:r>
      <w:proofErr w:type="spellStart"/>
      <w:r w:rsidRPr="00C5216E">
        <w:rPr>
          <w:rFonts w:ascii="Arial" w:hAnsi="Arial"/>
          <w:color w:val="1F3864" w:themeColor="accent1" w:themeShade="80"/>
          <w:sz w:val="20"/>
          <w:szCs w:val="20"/>
        </w:rPr>
        <w:t>Economy</w:t>
      </w:r>
      <w:proofErr w:type="spellEnd"/>
      <w:r w:rsidRPr="00C5216E">
        <w:rPr>
          <w:rFonts w:ascii="Arial" w:hAnsi="Arial"/>
          <w:color w:val="1F3864" w:themeColor="accent1" w:themeShade="80"/>
          <w:sz w:val="20"/>
          <w:szCs w:val="20"/>
        </w:rPr>
        <w:t xml:space="preserve">, ki naj bi mobiliziral dodatnih 500 milijonov evrov sredstev EU za podporo pomorskemu gospodarstvu. Razpisi bodo objavljeni kmalu na strani Evropskega investicijskega sklada. </w:t>
      </w:r>
      <w:r w:rsidR="00F250D3">
        <w:rPr>
          <w:rFonts w:ascii="Arial" w:hAnsi="Arial"/>
          <w:color w:val="1F3864" w:themeColor="accent1" w:themeShade="80"/>
          <w:sz w:val="20"/>
          <w:szCs w:val="20"/>
        </w:rPr>
        <w:t xml:space="preserve"> </w:t>
      </w:r>
    </w:p>
    <w:p w14:paraId="3552E672" w14:textId="77777777" w:rsidR="00FB48BC" w:rsidRPr="00C5216E" w:rsidRDefault="00FB48BC" w:rsidP="00FB48BC">
      <w:pPr>
        <w:jc w:val="both"/>
        <w:rPr>
          <w:rFonts w:ascii="Arial" w:hAnsi="Arial"/>
          <w:color w:val="1F3864" w:themeColor="accent1" w:themeShade="80"/>
          <w:sz w:val="20"/>
          <w:szCs w:val="20"/>
        </w:rPr>
      </w:pPr>
    </w:p>
    <w:p w14:paraId="485F6EDE" w14:textId="77777777" w:rsidR="00FB48BC" w:rsidRPr="00C5216E" w:rsidRDefault="00FB48BC" w:rsidP="00FB48BC">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102D111E" w14:textId="55FBD576" w:rsidR="00FB48BC" w:rsidRPr="00C5216E" w:rsidRDefault="003947AF" w:rsidP="00FB48BC">
      <w:pPr>
        <w:jc w:val="both"/>
        <w:rPr>
          <w:rStyle w:val="Hyperlink"/>
          <w:rFonts w:ascii="Arial" w:hAnsi="Arial"/>
          <w:color w:val="FFC000"/>
          <w:sz w:val="20"/>
          <w:szCs w:val="20"/>
        </w:rPr>
      </w:pPr>
      <w:hyperlink r:id="rId15" w:history="1">
        <w:r w:rsidR="00FB48BC" w:rsidRPr="00C5216E">
          <w:rPr>
            <w:rStyle w:val="Hyperlink"/>
            <w:rFonts w:ascii="Arial" w:hAnsi="Arial"/>
            <w:color w:val="FFC000"/>
            <w:sz w:val="20"/>
            <w:szCs w:val="20"/>
          </w:rPr>
          <w:t>Sporočilo o vzpostavitvi sklada</w:t>
        </w:r>
      </w:hyperlink>
    </w:p>
    <w:p w14:paraId="2D5AC3F5" w14:textId="77777777" w:rsidR="00AA088C" w:rsidRPr="00C5216E" w:rsidRDefault="00AA088C" w:rsidP="00FB48BC">
      <w:pPr>
        <w:jc w:val="both"/>
        <w:rPr>
          <w:rFonts w:ascii="Arial" w:hAnsi="Arial"/>
          <w:color w:val="1F3864" w:themeColor="accent1" w:themeShade="80"/>
          <w:sz w:val="20"/>
          <w:szCs w:val="20"/>
        </w:rPr>
      </w:pPr>
    </w:p>
    <w:p w14:paraId="1ECA7C31" w14:textId="640CE228" w:rsidR="00FB48BC" w:rsidRPr="00C5216E" w:rsidRDefault="00BF6442" w:rsidP="00FB48BC">
      <w:pPr>
        <w:jc w:val="both"/>
        <w:rPr>
          <w:rFonts w:ascii="Arial" w:hAnsi="Arial"/>
          <w:color w:val="1F3864" w:themeColor="accent1" w:themeShade="80"/>
          <w:sz w:val="20"/>
          <w:szCs w:val="20"/>
        </w:rPr>
      </w:pPr>
      <w:r w:rsidRPr="00C5216E">
        <w:rPr>
          <w:color w:val="1F3864" w:themeColor="accent1" w:themeShade="80"/>
        </w:rPr>
        <w:object w:dxaOrig="2670" w:dyaOrig="1070" w14:anchorId="504CC19F">
          <v:shape id="_x0000_i1028" type="#_x0000_t75" style="width:207pt;height:83pt" o:ole="">
            <v:imagedata r:id="rId16" o:title=""/>
          </v:shape>
          <o:OLEObject Type="Embed" ProgID="Paint.Picture" ShapeID="_x0000_i1028" DrawAspect="Content" ObjectID="_1712669064" r:id="rId17"/>
        </w:object>
      </w:r>
    </w:p>
    <w:p w14:paraId="293C4EF1" w14:textId="77777777" w:rsidR="00FB48BC" w:rsidRPr="00C5216E" w:rsidRDefault="00FB48BC" w:rsidP="00FB48BC">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Razpis za izvedbo storitev  za izboljšanje uporabe zdravstvenih podatkov v EU</w:t>
      </w:r>
    </w:p>
    <w:p w14:paraId="09AD30EC" w14:textId="77777777" w:rsidR="00FB48BC" w:rsidRPr="00C5216E" w:rsidRDefault="00FB48BC" w:rsidP="00FB48BC">
      <w:pPr>
        <w:jc w:val="both"/>
        <w:rPr>
          <w:rFonts w:ascii="Arial" w:hAnsi="Arial"/>
          <w:color w:val="1F3864" w:themeColor="accent1" w:themeShade="80"/>
          <w:sz w:val="20"/>
          <w:szCs w:val="20"/>
        </w:rPr>
      </w:pPr>
    </w:p>
    <w:p w14:paraId="543A7825" w14:textId="77777777" w:rsidR="00FB48BC" w:rsidRPr="00C5216E" w:rsidRDefault="00FB48BC" w:rsidP="00FB48BC">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 xml:space="preserve">Do 13. maja je odprt razpis Evropske komisije za zbiranje predlogov za izvedbo storitev za izboljšanje uporabe zdravstvenih podatkov v EU. </w:t>
      </w:r>
    </w:p>
    <w:p w14:paraId="621FF5F0" w14:textId="77777777" w:rsidR="00FB48BC" w:rsidRPr="00C5216E" w:rsidRDefault="00FB48BC" w:rsidP="00FB48BC">
      <w:pPr>
        <w:jc w:val="both"/>
        <w:rPr>
          <w:rFonts w:ascii="Arial" w:hAnsi="Arial"/>
          <w:color w:val="1F3864" w:themeColor="accent1" w:themeShade="80"/>
          <w:sz w:val="20"/>
          <w:szCs w:val="20"/>
        </w:rPr>
      </w:pPr>
    </w:p>
    <w:p w14:paraId="7F2AD180" w14:textId="77777777" w:rsidR="00FB48BC" w:rsidRPr="00C5216E" w:rsidRDefault="00FB48BC" w:rsidP="00FB48BC">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28B4091F" w14:textId="77777777" w:rsidR="00FB48BC" w:rsidRPr="00C5216E" w:rsidRDefault="003947AF" w:rsidP="00FB48BC">
      <w:pPr>
        <w:jc w:val="both"/>
        <w:rPr>
          <w:rFonts w:ascii="Arial" w:hAnsi="Arial"/>
          <w:color w:val="FFC000"/>
          <w:sz w:val="20"/>
          <w:szCs w:val="20"/>
        </w:rPr>
      </w:pPr>
      <w:hyperlink r:id="rId18" w:history="1">
        <w:r w:rsidR="00FB48BC" w:rsidRPr="00C5216E">
          <w:rPr>
            <w:rStyle w:val="Hyperlink"/>
            <w:rFonts w:ascii="Arial" w:hAnsi="Arial"/>
            <w:color w:val="FFC000"/>
            <w:sz w:val="20"/>
            <w:szCs w:val="20"/>
          </w:rPr>
          <w:t>Razpis</w:t>
        </w:r>
      </w:hyperlink>
    </w:p>
    <w:p w14:paraId="704992A4" w14:textId="0D3F4CD5" w:rsidR="00FE628F" w:rsidRPr="00C5216E" w:rsidRDefault="00FE628F">
      <w:pPr>
        <w:rPr>
          <w:color w:val="1F3864" w:themeColor="accent1" w:themeShade="80"/>
        </w:rPr>
      </w:pPr>
    </w:p>
    <w:p w14:paraId="50733589" w14:textId="53F424A6" w:rsidR="00005A24" w:rsidRPr="00C5216E" w:rsidRDefault="00C5216E">
      <w:pPr>
        <w:rPr>
          <w:color w:val="1F3864" w:themeColor="accent1" w:themeShade="80"/>
        </w:rPr>
      </w:pPr>
      <w:r w:rsidRPr="00C5216E">
        <w:rPr>
          <w:color w:val="1F3864" w:themeColor="accent1" w:themeShade="80"/>
        </w:rPr>
        <w:object w:dxaOrig="2670" w:dyaOrig="1070" w14:anchorId="495A0E45">
          <v:shape id="_x0000_i1029" type="#_x0000_t75" style="width:205.5pt;height:82.5pt" o:ole="">
            <v:imagedata r:id="rId19" o:title=""/>
          </v:shape>
          <o:OLEObject Type="Embed" ProgID="Paint.Picture" ShapeID="_x0000_i1029" DrawAspect="Content" ObjectID="_1712669065" r:id="rId20"/>
        </w:object>
      </w:r>
    </w:p>
    <w:p w14:paraId="1DB7871B" w14:textId="77777777" w:rsidR="00005A24" w:rsidRPr="00C5216E" w:rsidRDefault="00005A24" w:rsidP="00005A24">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Odprt je razpis za prve ekološke nagrade EU</w:t>
      </w:r>
    </w:p>
    <w:p w14:paraId="24C6DF91" w14:textId="77777777" w:rsidR="00005A24" w:rsidRPr="00C5216E" w:rsidRDefault="00005A24" w:rsidP="00005A24">
      <w:pPr>
        <w:jc w:val="both"/>
        <w:rPr>
          <w:rFonts w:ascii="Arial" w:hAnsi="Arial"/>
          <w:color w:val="1F3864" w:themeColor="accent1" w:themeShade="80"/>
          <w:sz w:val="20"/>
          <w:szCs w:val="20"/>
        </w:rPr>
      </w:pPr>
    </w:p>
    <w:p w14:paraId="7C7B7F76" w14:textId="6ED99E69" w:rsidR="00005A24" w:rsidRPr="00C5216E" w:rsidRDefault="00005A24" w:rsidP="00005A24">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 xml:space="preserve">Do 8. junija je odprt razpis za prve ekološke nagrade EU. Izbranih bo osem nagrad v sedmih kategorijah: najboljši ekološki kmetovalec in kmetovalka, najboljša ekološka regija, najboljše ekološko mesto, najboljša </w:t>
      </w:r>
      <w:proofErr w:type="spellStart"/>
      <w:r w:rsidRPr="00C5216E">
        <w:rPr>
          <w:rFonts w:ascii="Arial" w:hAnsi="Arial"/>
          <w:color w:val="1F3864" w:themeColor="accent1" w:themeShade="80"/>
          <w:sz w:val="20"/>
          <w:szCs w:val="20"/>
        </w:rPr>
        <w:t>ekoregija</w:t>
      </w:r>
      <w:proofErr w:type="spellEnd"/>
      <w:r w:rsidRPr="00C5216E">
        <w:rPr>
          <w:rFonts w:ascii="Arial" w:hAnsi="Arial"/>
          <w:color w:val="1F3864" w:themeColor="accent1" w:themeShade="80"/>
          <w:sz w:val="20"/>
          <w:szCs w:val="20"/>
        </w:rPr>
        <w:t xml:space="preserve">, najboljše ekološko malo in srednje podjetje, najboljši trgovec z ekološko hrano na drobno in najboljša ekološka restavracija. </w:t>
      </w:r>
    </w:p>
    <w:p w14:paraId="28D5BE24" w14:textId="77777777" w:rsidR="00005A24" w:rsidRPr="00C5216E" w:rsidRDefault="00005A24" w:rsidP="00005A24">
      <w:pPr>
        <w:jc w:val="both"/>
        <w:rPr>
          <w:rFonts w:ascii="Arial" w:hAnsi="Arial"/>
          <w:color w:val="1F3864" w:themeColor="accent1" w:themeShade="80"/>
          <w:sz w:val="20"/>
          <w:szCs w:val="20"/>
        </w:rPr>
      </w:pPr>
    </w:p>
    <w:p w14:paraId="2AEC30B0" w14:textId="77777777" w:rsidR="00005A24" w:rsidRPr="00C5216E" w:rsidRDefault="00005A24" w:rsidP="00005A24">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42149FF6" w14:textId="418EF728" w:rsidR="00005A24" w:rsidRPr="00C5216E" w:rsidRDefault="003947AF" w:rsidP="00005A24">
      <w:pPr>
        <w:jc w:val="both"/>
        <w:rPr>
          <w:rStyle w:val="Hyperlink"/>
          <w:rFonts w:ascii="Arial" w:hAnsi="Arial"/>
          <w:color w:val="FFC000"/>
          <w:sz w:val="20"/>
          <w:szCs w:val="20"/>
        </w:rPr>
      </w:pPr>
      <w:hyperlink r:id="rId21" w:history="1">
        <w:r w:rsidR="00005A24" w:rsidRPr="00C5216E">
          <w:rPr>
            <w:rStyle w:val="Hyperlink"/>
            <w:rFonts w:ascii="Arial" w:hAnsi="Arial"/>
            <w:color w:val="FFC000"/>
            <w:sz w:val="20"/>
            <w:szCs w:val="20"/>
          </w:rPr>
          <w:t>Spletna stran z informacijami o nagradah</w:t>
        </w:r>
      </w:hyperlink>
    </w:p>
    <w:p w14:paraId="24AC9399" w14:textId="0E1C6752" w:rsidR="005F5B4B" w:rsidRDefault="005F5B4B" w:rsidP="00005A24">
      <w:pPr>
        <w:jc w:val="both"/>
        <w:rPr>
          <w:rStyle w:val="Hyperlink"/>
          <w:rFonts w:ascii="Arial" w:hAnsi="Arial"/>
          <w:color w:val="1F3864" w:themeColor="accent1" w:themeShade="80"/>
          <w:sz w:val="20"/>
          <w:szCs w:val="20"/>
        </w:rPr>
      </w:pPr>
    </w:p>
    <w:p w14:paraId="72B47C0B" w14:textId="77777777" w:rsidR="00AA088C" w:rsidRPr="00C5216E" w:rsidRDefault="00AA088C" w:rsidP="00005A24">
      <w:pPr>
        <w:jc w:val="both"/>
        <w:rPr>
          <w:rStyle w:val="Hyperlink"/>
          <w:rFonts w:ascii="Arial" w:hAnsi="Arial"/>
          <w:color w:val="1F3864" w:themeColor="accent1" w:themeShade="80"/>
          <w:sz w:val="20"/>
          <w:szCs w:val="20"/>
        </w:rPr>
      </w:pPr>
    </w:p>
    <w:p w14:paraId="109201BC" w14:textId="1C767ADC" w:rsidR="005F5B4B" w:rsidRPr="00C5216E" w:rsidRDefault="00AA088C" w:rsidP="00005A24">
      <w:pPr>
        <w:jc w:val="both"/>
        <w:rPr>
          <w:rStyle w:val="Hyperlink"/>
          <w:rFonts w:ascii="Arial" w:hAnsi="Arial"/>
          <w:color w:val="1F3864" w:themeColor="accent1" w:themeShade="80"/>
          <w:sz w:val="20"/>
          <w:szCs w:val="20"/>
        </w:rPr>
      </w:pPr>
      <w:r>
        <w:object w:dxaOrig="2670" w:dyaOrig="1070" w14:anchorId="27705B97">
          <v:shape id="_x0000_i1030" type="#_x0000_t75" style="width:207pt;height:83pt" o:ole="">
            <v:imagedata r:id="rId22" o:title=""/>
          </v:shape>
          <o:OLEObject Type="Embed" ProgID="Paint.Picture" ShapeID="_x0000_i1030" DrawAspect="Content" ObjectID="_1712669066" r:id="rId23"/>
        </w:object>
      </w:r>
    </w:p>
    <w:p w14:paraId="55E04510" w14:textId="0834ADD2" w:rsidR="005F5B4B" w:rsidRDefault="005F5B4B" w:rsidP="005F5B4B">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Objavljeno je poročilo o izvrševanju in ureditvi poročanja podjetij za leto 2021</w:t>
      </w:r>
    </w:p>
    <w:p w14:paraId="17C65E5E" w14:textId="77777777" w:rsidR="005F5B4B" w:rsidRPr="00C5216E" w:rsidRDefault="005F5B4B" w:rsidP="005F5B4B">
      <w:pPr>
        <w:jc w:val="both"/>
        <w:rPr>
          <w:rFonts w:ascii="Arial" w:hAnsi="Arial"/>
          <w:color w:val="1F3864" w:themeColor="accent1" w:themeShade="80"/>
          <w:sz w:val="20"/>
          <w:szCs w:val="20"/>
        </w:rPr>
      </w:pPr>
    </w:p>
    <w:p w14:paraId="301EF0AD" w14:textId="77777777" w:rsidR="005F5B4B" w:rsidRPr="00C5216E" w:rsidRDefault="005F5B4B" w:rsidP="005F5B4B">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Evropski organ za vrednostne papirje in trge (ESMA) je objavil poročilo o izvrševanju in ureditvi poročanja podjetij za leto 2021.</w:t>
      </w:r>
    </w:p>
    <w:p w14:paraId="2E03DCFD" w14:textId="77777777" w:rsidR="005F5B4B" w:rsidRPr="00C5216E" w:rsidRDefault="005F5B4B" w:rsidP="005F5B4B">
      <w:pPr>
        <w:jc w:val="both"/>
        <w:rPr>
          <w:rFonts w:ascii="Arial" w:hAnsi="Arial"/>
          <w:color w:val="1F3864" w:themeColor="accent1" w:themeShade="80"/>
          <w:sz w:val="20"/>
          <w:szCs w:val="20"/>
        </w:rPr>
      </w:pPr>
    </w:p>
    <w:p w14:paraId="65419BF7" w14:textId="77777777" w:rsidR="005F5B4B" w:rsidRPr="00C5216E" w:rsidRDefault="005F5B4B" w:rsidP="005F5B4B">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21094C91" w14:textId="214F9B7B" w:rsidR="005F5B4B" w:rsidRDefault="003947AF" w:rsidP="005F5B4B">
      <w:pPr>
        <w:jc w:val="both"/>
        <w:rPr>
          <w:rStyle w:val="Hyperlink"/>
          <w:rFonts w:ascii="Arial" w:hAnsi="Arial"/>
          <w:color w:val="FFC000"/>
          <w:sz w:val="20"/>
          <w:szCs w:val="20"/>
        </w:rPr>
      </w:pPr>
      <w:hyperlink r:id="rId24" w:history="1">
        <w:r w:rsidR="005F5B4B" w:rsidRPr="00C5216E">
          <w:rPr>
            <w:rStyle w:val="Hyperlink"/>
            <w:rFonts w:ascii="Arial" w:hAnsi="Arial"/>
            <w:color w:val="FFC000"/>
            <w:sz w:val="20"/>
            <w:szCs w:val="20"/>
          </w:rPr>
          <w:t>Poročilo</w:t>
        </w:r>
      </w:hyperlink>
    </w:p>
    <w:p w14:paraId="060C7E80" w14:textId="77777777" w:rsidR="00B0712A" w:rsidRPr="00C5216E" w:rsidRDefault="00B0712A" w:rsidP="005F5B4B">
      <w:pPr>
        <w:jc w:val="both"/>
        <w:rPr>
          <w:rStyle w:val="Hyperlink"/>
          <w:rFonts w:ascii="Arial" w:hAnsi="Arial"/>
          <w:color w:val="FFC000"/>
          <w:sz w:val="20"/>
          <w:szCs w:val="20"/>
        </w:rPr>
      </w:pPr>
    </w:p>
    <w:p w14:paraId="188B68F1" w14:textId="37459CA0" w:rsidR="005F5B4B" w:rsidRPr="00C5216E" w:rsidRDefault="005F5B4B" w:rsidP="005F5B4B">
      <w:pPr>
        <w:jc w:val="both"/>
        <w:rPr>
          <w:rStyle w:val="Hyperlink"/>
          <w:rFonts w:ascii="Arial" w:hAnsi="Arial"/>
          <w:color w:val="1F3864" w:themeColor="accent1" w:themeShade="80"/>
          <w:sz w:val="20"/>
          <w:szCs w:val="20"/>
        </w:rPr>
      </w:pPr>
    </w:p>
    <w:p w14:paraId="04966D03" w14:textId="2CB14B9B" w:rsidR="005F5B4B" w:rsidRPr="00C5216E" w:rsidRDefault="00B0712A" w:rsidP="005F5B4B">
      <w:pPr>
        <w:jc w:val="both"/>
        <w:rPr>
          <w:rFonts w:ascii="Arial" w:hAnsi="Arial"/>
          <w:color w:val="1F3864" w:themeColor="accent1" w:themeShade="80"/>
          <w:sz w:val="20"/>
          <w:szCs w:val="20"/>
        </w:rPr>
      </w:pPr>
      <w:r>
        <w:object w:dxaOrig="2670" w:dyaOrig="1070" w14:anchorId="3AF18327">
          <v:shape id="_x0000_i1031" type="#_x0000_t75" style="width:203.5pt;height:81.5pt" o:ole="">
            <v:imagedata r:id="rId25" o:title=""/>
          </v:shape>
          <o:OLEObject Type="Embed" ProgID="Paint.Picture" ShapeID="_x0000_i1031" DrawAspect="Content" ObjectID="_1712669067" r:id="rId26"/>
        </w:object>
      </w:r>
    </w:p>
    <w:p w14:paraId="15867C6D" w14:textId="77777777" w:rsidR="005F5B4B" w:rsidRPr="00C5216E" w:rsidRDefault="005F5B4B" w:rsidP="005F5B4B">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Razpis za zbiranje predlogov za razvoj metod omamljanja prašičev</w:t>
      </w:r>
    </w:p>
    <w:p w14:paraId="6360258E" w14:textId="77777777" w:rsidR="005F5B4B" w:rsidRPr="00C5216E" w:rsidRDefault="005F5B4B" w:rsidP="005F5B4B">
      <w:pPr>
        <w:jc w:val="both"/>
        <w:rPr>
          <w:rFonts w:ascii="Arial" w:hAnsi="Arial"/>
          <w:color w:val="1F3864" w:themeColor="accent1" w:themeShade="80"/>
          <w:sz w:val="20"/>
          <w:szCs w:val="20"/>
        </w:rPr>
      </w:pPr>
    </w:p>
    <w:p w14:paraId="7A8DAF1F" w14:textId="21BC4CF5" w:rsidR="005F5B4B" w:rsidRPr="00C5216E" w:rsidRDefault="005F5B4B" w:rsidP="005F5B4B">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 xml:space="preserve">Do 31. maja je odprt razpis za zbiranje predlogov za razvoj metod omamljanja prašičev, ki niso </w:t>
      </w:r>
      <w:proofErr w:type="spellStart"/>
      <w:r w:rsidRPr="00C5216E">
        <w:rPr>
          <w:rFonts w:ascii="Arial" w:hAnsi="Arial"/>
          <w:color w:val="1F3864" w:themeColor="accent1" w:themeShade="80"/>
          <w:sz w:val="20"/>
          <w:szCs w:val="20"/>
        </w:rPr>
        <w:t>averzivne</w:t>
      </w:r>
      <w:proofErr w:type="spellEnd"/>
      <w:r w:rsidRPr="00C5216E">
        <w:rPr>
          <w:rFonts w:ascii="Arial" w:hAnsi="Arial"/>
          <w:color w:val="1F3864" w:themeColor="accent1" w:themeShade="80"/>
          <w:sz w:val="20"/>
          <w:szCs w:val="20"/>
        </w:rPr>
        <w:t xml:space="preserve">. Razpis je del pripravljalnega ukrepa, ki ga je Evropski parlament začel izvajati leta 2021, da bi zbral informacije o učinkih živalim prijaznih alternativ. </w:t>
      </w:r>
    </w:p>
    <w:p w14:paraId="28841FBD" w14:textId="77777777" w:rsidR="005F5B4B" w:rsidRPr="00C5216E" w:rsidRDefault="005F5B4B" w:rsidP="005F5B4B">
      <w:pPr>
        <w:jc w:val="both"/>
        <w:rPr>
          <w:rFonts w:ascii="Arial" w:hAnsi="Arial"/>
          <w:color w:val="1F3864" w:themeColor="accent1" w:themeShade="80"/>
          <w:sz w:val="20"/>
          <w:szCs w:val="20"/>
        </w:rPr>
      </w:pPr>
    </w:p>
    <w:p w14:paraId="6FC269A7" w14:textId="77777777" w:rsidR="005F5B4B" w:rsidRPr="00C5216E" w:rsidRDefault="005F5B4B" w:rsidP="005F5B4B">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105C1D43" w14:textId="77777777" w:rsidR="005F5B4B" w:rsidRPr="00C5216E" w:rsidRDefault="003947AF" w:rsidP="005F5B4B">
      <w:pPr>
        <w:jc w:val="both"/>
        <w:rPr>
          <w:rFonts w:ascii="Arial" w:hAnsi="Arial"/>
          <w:color w:val="FFC000"/>
          <w:sz w:val="20"/>
          <w:szCs w:val="20"/>
        </w:rPr>
      </w:pPr>
      <w:hyperlink r:id="rId27" w:history="1">
        <w:r w:rsidR="005F5B4B" w:rsidRPr="00C5216E">
          <w:rPr>
            <w:rStyle w:val="Hyperlink"/>
            <w:rFonts w:ascii="Arial" w:hAnsi="Arial"/>
            <w:color w:val="FFC000"/>
            <w:sz w:val="20"/>
            <w:szCs w:val="20"/>
          </w:rPr>
          <w:t>Razpis</w:t>
        </w:r>
      </w:hyperlink>
    </w:p>
    <w:p w14:paraId="1C9EDCBA" w14:textId="561E87E5" w:rsidR="005F5B4B" w:rsidRPr="00C5216E" w:rsidRDefault="005F5B4B" w:rsidP="005F5B4B">
      <w:pPr>
        <w:jc w:val="both"/>
        <w:rPr>
          <w:rFonts w:ascii="Arial" w:hAnsi="Arial"/>
          <w:color w:val="1F3864" w:themeColor="accent1" w:themeShade="80"/>
          <w:sz w:val="20"/>
          <w:szCs w:val="20"/>
        </w:rPr>
      </w:pPr>
    </w:p>
    <w:p w14:paraId="6C5038E0" w14:textId="5CA2E920" w:rsidR="005F5B4B" w:rsidRPr="00C5216E" w:rsidRDefault="005F5B4B" w:rsidP="005F5B4B">
      <w:pPr>
        <w:jc w:val="both"/>
        <w:rPr>
          <w:rFonts w:ascii="Arial" w:hAnsi="Arial"/>
          <w:color w:val="1F3864" w:themeColor="accent1" w:themeShade="80"/>
          <w:sz w:val="20"/>
          <w:szCs w:val="20"/>
        </w:rPr>
      </w:pPr>
    </w:p>
    <w:p w14:paraId="70D66549" w14:textId="3C8B540B" w:rsidR="005F5B4B" w:rsidRPr="00C5216E" w:rsidRDefault="004757E2" w:rsidP="005F5B4B">
      <w:pPr>
        <w:jc w:val="both"/>
        <w:rPr>
          <w:rFonts w:ascii="Arial" w:hAnsi="Arial"/>
          <w:color w:val="1F3864" w:themeColor="accent1" w:themeShade="80"/>
          <w:sz w:val="20"/>
          <w:szCs w:val="20"/>
        </w:rPr>
      </w:pPr>
      <w:r>
        <w:object w:dxaOrig="2670" w:dyaOrig="1070" w14:anchorId="4149913C">
          <v:shape id="_x0000_i1032" type="#_x0000_t75" style="width:202pt;height:81pt" o:ole="">
            <v:imagedata r:id="rId28" o:title=""/>
          </v:shape>
          <o:OLEObject Type="Embed" ProgID="Paint.Picture" ShapeID="_x0000_i1032" DrawAspect="Content" ObjectID="_1712669068" r:id="rId29"/>
        </w:object>
      </w:r>
    </w:p>
    <w:p w14:paraId="466C9CA8" w14:textId="77777777" w:rsidR="00566E8C" w:rsidRPr="00C5216E" w:rsidRDefault="00566E8C" w:rsidP="00566E8C">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Novo industrijsko združenje za povečanje ponudbe alternativnih goriv v prometu</w:t>
      </w:r>
    </w:p>
    <w:p w14:paraId="4FC2C2D4" w14:textId="77777777" w:rsidR="00566E8C" w:rsidRPr="00C5216E" w:rsidRDefault="00566E8C" w:rsidP="00566E8C">
      <w:pPr>
        <w:jc w:val="both"/>
        <w:rPr>
          <w:rFonts w:ascii="Arial" w:hAnsi="Arial"/>
          <w:color w:val="1F3864" w:themeColor="accent1" w:themeShade="80"/>
          <w:sz w:val="20"/>
          <w:szCs w:val="20"/>
        </w:rPr>
      </w:pPr>
    </w:p>
    <w:p w14:paraId="7DB92B22" w14:textId="77777777" w:rsidR="00566E8C" w:rsidRPr="00C5216E" w:rsidRDefault="00566E8C" w:rsidP="00566E8C">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 xml:space="preserve">Z delom je začelo novo industrijsko združenje za povečanje ponudbe alternativnih goriv v prometu. Njegov cilj je hitro povečati ponudbo obnovljivih in </w:t>
      </w:r>
      <w:proofErr w:type="spellStart"/>
      <w:r w:rsidRPr="00C5216E">
        <w:rPr>
          <w:rFonts w:ascii="Arial" w:hAnsi="Arial"/>
          <w:color w:val="1F3864" w:themeColor="accent1" w:themeShade="80"/>
          <w:sz w:val="20"/>
          <w:szCs w:val="20"/>
        </w:rPr>
        <w:t>nizkoogljičnih</w:t>
      </w:r>
      <w:proofErr w:type="spellEnd"/>
      <w:r w:rsidRPr="00C5216E">
        <w:rPr>
          <w:rFonts w:ascii="Arial" w:hAnsi="Arial"/>
          <w:color w:val="1F3864" w:themeColor="accent1" w:themeShade="80"/>
          <w:sz w:val="20"/>
          <w:szCs w:val="20"/>
        </w:rPr>
        <w:t xml:space="preserve"> goriv za letalski in vodni promet. Zavezništvo je objavilo tudi javni poziv za včlanitev, v katerem poziva industrijo, javne organe, civilno družbo in vse druge udeležence, da se mu pridružijo.</w:t>
      </w:r>
    </w:p>
    <w:p w14:paraId="43B8BBAD" w14:textId="77777777" w:rsidR="00566E8C" w:rsidRPr="00C5216E" w:rsidRDefault="00566E8C" w:rsidP="00566E8C">
      <w:pPr>
        <w:jc w:val="both"/>
        <w:rPr>
          <w:rFonts w:ascii="Arial" w:hAnsi="Arial"/>
          <w:color w:val="1F3864" w:themeColor="accent1" w:themeShade="80"/>
          <w:sz w:val="20"/>
          <w:szCs w:val="20"/>
        </w:rPr>
      </w:pPr>
    </w:p>
    <w:p w14:paraId="2104AD4C" w14:textId="77777777" w:rsidR="00566E8C" w:rsidRPr="00C5216E" w:rsidRDefault="00566E8C" w:rsidP="00566E8C">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4B790118" w14:textId="77777777" w:rsidR="00566E8C" w:rsidRPr="00C5216E" w:rsidRDefault="003947AF" w:rsidP="00566E8C">
      <w:pPr>
        <w:jc w:val="both"/>
        <w:rPr>
          <w:rFonts w:ascii="Arial" w:hAnsi="Arial"/>
          <w:color w:val="FFC000"/>
          <w:sz w:val="20"/>
          <w:szCs w:val="20"/>
        </w:rPr>
      </w:pPr>
      <w:hyperlink r:id="rId30" w:history="1">
        <w:r w:rsidR="00566E8C" w:rsidRPr="00C5216E">
          <w:rPr>
            <w:rStyle w:val="Hyperlink"/>
            <w:rFonts w:ascii="Arial" w:hAnsi="Arial"/>
            <w:color w:val="FFC000"/>
            <w:sz w:val="20"/>
            <w:szCs w:val="20"/>
          </w:rPr>
          <w:t>Spletna stran z informacijami o združenju</w:t>
        </w:r>
      </w:hyperlink>
    </w:p>
    <w:p w14:paraId="23D5A323" w14:textId="6C9749A6" w:rsidR="005F5B4B" w:rsidRPr="00C5216E" w:rsidRDefault="005F5B4B" w:rsidP="00005A24">
      <w:pPr>
        <w:jc w:val="both"/>
        <w:rPr>
          <w:rFonts w:ascii="Arial" w:hAnsi="Arial"/>
          <w:color w:val="1F3864" w:themeColor="accent1" w:themeShade="80"/>
          <w:sz w:val="20"/>
          <w:szCs w:val="20"/>
        </w:rPr>
      </w:pPr>
    </w:p>
    <w:p w14:paraId="02F14764" w14:textId="73F8A36F" w:rsidR="00566E8C" w:rsidRDefault="00566E8C" w:rsidP="00005A24">
      <w:pPr>
        <w:jc w:val="both"/>
        <w:rPr>
          <w:rFonts w:ascii="Arial" w:hAnsi="Arial"/>
          <w:color w:val="1F3864" w:themeColor="accent1" w:themeShade="80"/>
          <w:sz w:val="20"/>
          <w:szCs w:val="20"/>
        </w:rPr>
      </w:pPr>
    </w:p>
    <w:p w14:paraId="24A2C96B" w14:textId="72ACEA05" w:rsidR="003D056B" w:rsidRPr="00C5216E" w:rsidRDefault="003D056B" w:rsidP="00005A24">
      <w:pPr>
        <w:jc w:val="both"/>
        <w:rPr>
          <w:rFonts w:ascii="Arial" w:hAnsi="Arial"/>
          <w:color w:val="1F3864" w:themeColor="accent1" w:themeShade="80"/>
          <w:sz w:val="20"/>
          <w:szCs w:val="20"/>
        </w:rPr>
      </w:pPr>
      <w:r>
        <w:object w:dxaOrig="2670" w:dyaOrig="1070" w14:anchorId="34F1E7E3">
          <v:shape id="_x0000_i1033" type="#_x0000_t75" style="width:204.5pt;height:82pt" o:ole="">
            <v:imagedata r:id="rId31" o:title=""/>
          </v:shape>
          <o:OLEObject Type="Embed" ProgID="Paint.Picture" ShapeID="_x0000_i1033" DrawAspect="Content" ObjectID="_1712669069" r:id="rId32"/>
        </w:object>
      </w:r>
    </w:p>
    <w:p w14:paraId="6899EBDF" w14:textId="77777777" w:rsidR="00F257E6" w:rsidRPr="00C5216E" w:rsidRDefault="00F257E6" w:rsidP="00F257E6">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Sklepi o vlogi kmetijstva in gozdarstva v boju proti podnebnim spremembam</w:t>
      </w:r>
    </w:p>
    <w:p w14:paraId="73FAB5C1" w14:textId="77777777" w:rsidR="00F257E6" w:rsidRPr="00C5216E" w:rsidRDefault="00F257E6" w:rsidP="00F257E6">
      <w:pPr>
        <w:jc w:val="both"/>
        <w:rPr>
          <w:rFonts w:ascii="Arial" w:hAnsi="Arial"/>
          <w:color w:val="1F3864" w:themeColor="accent1" w:themeShade="80"/>
          <w:sz w:val="20"/>
          <w:szCs w:val="20"/>
        </w:rPr>
      </w:pPr>
    </w:p>
    <w:p w14:paraId="741BB4F5" w14:textId="77777777" w:rsidR="00F257E6" w:rsidRPr="00C5216E" w:rsidRDefault="00F257E6" w:rsidP="00F257E6">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 xml:space="preserve">Države članice EU so v okviru Sveta EU sprejele sklepe o </w:t>
      </w:r>
      <w:proofErr w:type="spellStart"/>
      <w:r w:rsidRPr="00C5216E">
        <w:rPr>
          <w:rFonts w:ascii="Arial" w:hAnsi="Arial"/>
          <w:color w:val="1F3864" w:themeColor="accent1" w:themeShade="80"/>
          <w:sz w:val="20"/>
          <w:szCs w:val="20"/>
        </w:rPr>
        <w:t>nizkoogljičnem</w:t>
      </w:r>
      <w:proofErr w:type="spellEnd"/>
      <w:r w:rsidRPr="00C5216E">
        <w:rPr>
          <w:rFonts w:ascii="Arial" w:hAnsi="Arial"/>
          <w:color w:val="1F3864" w:themeColor="accent1" w:themeShade="80"/>
          <w:sz w:val="20"/>
          <w:szCs w:val="20"/>
        </w:rPr>
        <w:t xml:space="preserve"> kmetijstvu, ki poudarjajo spodbujanje kmetijskih praks, ki prispevajo k zajemanju ogljika iz ozračja, in v trajnostno vezavo ogljika v tla ali biomaso. Med temi praksami so lahko zasajanje živih mej in dreves, vzgoja stročnic, uporaba vmesnih posevkov in </w:t>
      </w:r>
      <w:proofErr w:type="spellStart"/>
      <w:r w:rsidRPr="00C5216E">
        <w:rPr>
          <w:rFonts w:ascii="Arial" w:hAnsi="Arial"/>
          <w:color w:val="1F3864" w:themeColor="accent1" w:themeShade="80"/>
          <w:sz w:val="20"/>
          <w:szCs w:val="20"/>
        </w:rPr>
        <w:t>pokrovnih</w:t>
      </w:r>
      <w:proofErr w:type="spellEnd"/>
      <w:r w:rsidRPr="00C5216E">
        <w:rPr>
          <w:rFonts w:ascii="Arial" w:hAnsi="Arial"/>
          <w:color w:val="1F3864" w:themeColor="accent1" w:themeShade="80"/>
          <w:sz w:val="20"/>
          <w:szCs w:val="20"/>
        </w:rPr>
        <w:t xml:space="preserve"> posevkov, ohranjevalno kmetijstvo, ohranjanje šotišč, na gozdarskem področju pa pogozdovanje in ponovno pogozdovanje.</w:t>
      </w:r>
    </w:p>
    <w:p w14:paraId="65FA00FB" w14:textId="77777777" w:rsidR="00F257E6" w:rsidRPr="00C5216E" w:rsidRDefault="00F257E6" w:rsidP="00F257E6">
      <w:pPr>
        <w:jc w:val="both"/>
        <w:rPr>
          <w:rFonts w:ascii="Arial" w:hAnsi="Arial"/>
          <w:color w:val="1F3864" w:themeColor="accent1" w:themeShade="80"/>
          <w:sz w:val="20"/>
          <w:szCs w:val="20"/>
        </w:rPr>
      </w:pPr>
    </w:p>
    <w:p w14:paraId="43047F44" w14:textId="77777777" w:rsidR="00F257E6" w:rsidRPr="00C5216E" w:rsidRDefault="00F257E6" w:rsidP="00F257E6">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1E9324A1" w14:textId="77777777" w:rsidR="00F257E6" w:rsidRPr="00715DA4" w:rsidRDefault="003947AF" w:rsidP="00F257E6">
      <w:pPr>
        <w:jc w:val="both"/>
        <w:rPr>
          <w:rFonts w:ascii="Arial" w:hAnsi="Arial"/>
          <w:color w:val="FFC000"/>
          <w:sz w:val="20"/>
          <w:szCs w:val="20"/>
        </w:rPr>
      </w:pPr>
      <w:hyperlink r:id="rId33" w:history="1">
        <w:r w:rsidR="00F257E6" w:rsidRPr="00715DA4">
          <w:rPr>
            <w:rStyle w:val="Hyperlink"/>
            <w:rFonts w:ascii="Arial" w:hAnsi="Arial"/>
            <w:color w:val="FFC000"/>
            <w:sz w:val="20"/>
            <w:szCs w:val="20"/>
          </w:rPr>
          <w:t>Sklepi</w:t>
        </w:r>
      </w:hyperlink>
    </w:p>
    <w:p w14:paraId="0DF0EE90" w14:textId="77777777" w:rsidR="00F257E6" w:rsidRPr="00C5216E" w:rsidRDefault="00F257E6" w:rsidP="00F257E6">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in</w:t>
      </w:r>
    </w:p>
    <w:p w14:paraId="6EFCB505" w14:textId="5D64B2D7" w:rsidR="00F257E6" w:rsidRPr="00715DA4" w:rsidRDefault="003947AF" w:rsidP="00F257E6">
      <w:pPr>
        <w:jc w:val="both"/>
        <w:rPr>
          <w:rStyle w:val="Hyperlink"/>
          <w:rFonts w:ascii="Arial" w:hAnsi="Arial"/>
          <w:color w:val="FFC000"/>
          <w:sz w:val="20"/>
          <w:szCs w:val="20"/>
        </w:rPr>
      </w:pPr>
      <w:hyperlink r:id="rId34" w:history="1">
        <w:r w:rsidR="00F257E6" w:rsidRPr="00715DA4">
          <w:rPr>
            <w:rStyle w:val="Hyperlink"/>
            <w:rFonts w:ascii="Arial" w:hAnsi="Arial"/>
            <w:color w:val="FFC000"/>
            <w:sz w:val="20"/>
            <w:szCs w:val="20"/>
          </w:rPr>
          <w:t>Sporočilo Evropske komisije Trajnostni ogljikovi krogi</w:t>
        </w:r>
      </w:hyperlink>
    </w:p>
    <w:p w14:paraId="7B2DB74C" w14:textId="77777777" w:rsidR="0061021A" w:rsidRPr="00C5216E" w:rsidRDefault="0061021A" w:rsidP="00F257E6">
      <w:pPr>
        <w:jc w:val="both"/>
        <w:rPr>
          <w:rStyle w:val="Hyperlink"/>
          <w:rFonts w:ascii="Arial" w:hAnsi="Arial"/>
          <w:color w:val="1F3864" w:themeColor="accent1" w:themeShade="80"/>
          <w:sz w:val="20"/>
          <w:szCs w:val="20"/>
        </w:rPr>
      </w:pPr>
    </w:p>
    <w:p w14:paraId="3D7C7960" w14:textId="14663787" w:rsidR="00F257E6" w:rsidRDefault="00F257E6" w:rsidP="00F257E6">
      <w:pPr>
        <w:jc w:val="both"/>
        <w:rPr>
          <w:rStyle w:val="Hyperlink"/>
          <w:rFonts w:ascii="Arial" w:hAnsi="Arial"/>
          <w:color w:val="1F3864" w:themeColor="accent1" w:themeShade="80"/>
          <w:sz w:val="20"/>
          <w:szCs w:val="20"/>
        </w:rPr>
      </w:pPr>
    </w:p>
    <w:p w14:paraId="306CFE20" w14:textId="4A59CAE9" w:rsidR="00E91B1E" w:rsidRPr="00C5216E" w:rsidRDefault="00E91B1E" w:rsidP="00F257E6">
      <w:pPr>
        <w:jc w:val="both"/>
        <w:rPr>
          <w:rStyle w:val="Hyperlink"/>
          <w:rFonts w:ascii="Arial" w:hAnsi="Arial"/>
          <w:color w:val="1F3864" w:themeColor="accent1" w:themeShade="80"/>
          <w:sz w:val="20"/>
          <w:szCs w:val="20"/>
        </w:rPr>
      </w:pPr>
      <w:r>
        <w:object w:dxaOrig="2670" w:dyaOrig="1070" w14:anchorId="7118EE13">
          <v:shape id="_x0000_i1034" type="#_x0000_t75" style="width:202pt;height:81pt" o:ole="">
            <v:imagedata r:id="rId35" o:title=""/>
          </v:shape>
          <o:OLEObject Type="Embed" ProgID="Paint.Picture" ShapeID="_x0000_i1034" DrawAspect="Content" ObjectID="_1712669070" r:id="rId36"/>
        </w:object>
      </w:r>
    </w:p>
    <w:p w14:paraId="0CF37FF2" w14:textId="77777777" w:rsidR="00F257E6" w:rsidRPr="00C5216E" w:rsidRDefault="00F257E6" w:rsidP="00F257E6">
      <w:pPr>
        <w:jc w:val="both"/>
        <w:rPr>
          <w:rFonts w:ascii="Arial" w:hAnsi="Arial"/>
          <w:b/>
          <w:bCs/>
          <w:color w:val="1F3864" w:themeColor="accent1" w:themeShade="80"/>
          <w:sz w:val="20"/>
          <w:szCs w:val="20"/>
        </w:rPr>
      </w:pPr>
      <w:r w:rsidRPr="00C5216E">
        <w:rPr>
          <w:rFonts w:ascii="Arial" w:hAnsi="Arial"/>
          <w:b/>
          <w:bCs/>
          <w:color w:val="1F3864" w:themeColor="accent1" w:themeShade="80"/>
          <w:sz w:val="20"/>
          <w:szCs w:val="20"/>
        </w:rPr>
        <w:t>Javno posvetovanje o energijski učinkovitosti sesalnikov</w:t>
      </w:r>
    </w:p>
    <w:p w14:paraId="748026FA" w14:textId="77777777" w:rsidR="00F257E6" w:rsidRPr="00C5216E" w:rsidRDefault="00F257E6" w:rsidP="00F257E6">
      <w:pPr>
        <w:jc w:val="both"/>
        <w:rPr>
          <w:rFonts w:ascii="Arial" w:hAnsi="Arial"/>
          <w:color w:val="1F3864" w:themeColor="accent1" w:themeShade="80"/>
          <w:sz w:val="20"/>
          <w:szCs w:val="20"/>
        </w:rPr>
      </w:pPr>
    </w:p>
    <w:p w14:paraId="73642A45" w14:textId="77777777" w:rsidR="00F257E6" w:rsidRPr="00C5216E" w:rsidRDefault="00F257E6" w:rsidP="00F257E6">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 xml:space="preserve">Evropska komisija prek javnega posvetovanja do 30. junija zbira mnenja in predloge o </w:t>
      </w:r>
      <w:proofErr w:type="spellStart"/>
      <w:r w:rsidRPr="00C5216E">
        <w:rPr>
          <w:rFonts w:ascii="Arial" w:hAnsi="Arial"/>
          <w:color w:val="1F3864" w:themeColor="accent1" w:themeShade="80"/>
          <w:sz w:val="20"/>
          <w:szCs w:val="20"/>
        </w:rPr>
        <w:t>okoljsko</w:t>
      </w:r>
      <w:proofErr w:type="spellEnd"/>
      <w:r w:rsidRPr="00C5216E">
        <w:rPr>
          <w:rFonts w:ascii="Arial" w:hAnsi="Arial"/>
          <w:color w:val="1F3864" w:themeColor="accent1" w:themeShade="80"/>
          <w:sz w:val="20"/>
          <w:szCs w:val="20"/>
        </w:rPr>
        <w:t xml:space="preserve"> primerni zasnovi za sesalnike oziroma minimalnih zahtevah za energijsko učinkovitost sesalnikov.</w:t>
      </w:r>
    </w:p>
    <w:p w14:paraId="64B6972B" w14:textId="77777777" w:rsidR="00F257E6" w:rsidRPr="00C5216E" w:rsidRDefault="00F257E6" w:rsidP="00F257E6">
      <w:pPr>
        <w:jc w:val="both"/>
        <w:rPr>
          <w:rFonts w:ascii="Arial" w:hAnsi="Arial"/>
          <w:color w:val="1F3864" w:themeColor="accent1" w:themeShade="80"/>
          <w:sz w:val="20"/>
          <w:szCs w:val="20"/>
        </w:rPr>
      </w:pPr>
    </w:p>
    <w:p w14:paraId="4BD2416F" w14:textId="77777777" w:rsidR="00F257E6" w:rsidRPr="00C5216E" w:rsidRDefault="00F257E6" w:rsidP="00F257E6">
      <w:pPr>
        <w:jc w:val="both"/>
        <w:rPr>
          <w:rFonts w:ascii="Arial" w:hAnsi="Arial"/>
          <w:color w:val="1F3864" w:themeColor="accent1" w:themeShade="80"/>
          <w:sz w:val="20"/>
          <w:szCs w:val="20"/>
        </w:rPr>
      </w:pPr>
      <w:r w:rsidRPr="00C5216E">
        <w:rPr>
          <w:rFonts w:ascii="Arial" w:hAnsi="Arial"/>
          <w:color w:val="1F3864" w:themeColor="accent1" w:themeShade="80"/>
          <w:sz w:val="20"/>
          <w:szCs w:val="20"/>
        </w:rPr>
        <w:t>Več:</w:t>
      </w:r>
    </w:p>
    <w:p w14:paraId="5C251FFB" w14:textId="77777777" w:rsidR="00F257E6" w:rsidRPr="00715DA4" w:rsidRDefault="003947AF" w:rsidP="00F257E6">
      <w:pPr>
        <w:jc w:val="both"/>
        <w:rPr>
          <w:rFonts w:ascii="Arial" w:hAnsi="Arial"/>
          <w:color w:val="FFC000"/>
          <w:sz w:val="20"/>
          <w:szCs w:val="20"/>
        </w:rPr>
      </w:pPr>
      <w:hyperlink r:id="rId37" w:history="1">
        <w:r w:rsidR="00F257E6" w:rsidRPr="00715DA4">
          <w:rPr>
            <w:rStyle w:val="Hyperlink"/>
            <w:rFonts w:ascii="Arial" w:hAnsi="Arial"/>
            <w:color w:val="FFC000"/>
            <w:sz w:val="20"/>
            <w:szCs w:val="20"/>
          </w:rPr>
          <w:t>Posvetovanje</w:t>
        </w:r>
      </w:hyperlink>
      <w:r w:rsidR="00F257E6" w:rsidRPr="00715DA4">
        <w:rPr>
          <w:rFonts w:ascii="Arial" w:hAnsi="Arial"/>
          <w:color w:val="FFC000"/>
          <w:sz w:val="20"/>
          <w:szCs w:val="20"/>
        </w:rPr>
        <w:t xml:space="preserve"> </w:t>
      </w:r>
    </w:p>
    <w:p w14:paraId="73389D50" w14:textId="67F039F5" w:rsidR="00F257E6" w:rsidRPr="00C5216E" w:rsidRDefault="00F257E6" w:rsidP="00F257E6">
      <w:pPr>
        <w:jc w:val="both"/>
        <w:rPr>
          <w:rFonts w:ascii="Arial" w:hAnsi="Arial"/>
          <w:color w:val="1F3864" w:themeColor="accent1" w:themeShade="80"/>
          <w:sz w:val="20"/>
          <w:szCs w:val="20"/>
        </w:rPr>
      </w:pPr>
    </w:p>
    <w:p w14:paraId="05EC55F5" w14:textId="56AA4556" w:rsidR="00F257E6" w:rsidRPr="00C5216E" w:rsidRDefault="00F257E6" w:rsidP="00F257E6">
      <w:pPr>
        <w:jc w:val="both"/>
        <w:rPr>
          <w:rFonts w:ascii="Arial" w:hAnsi="Arial"/>
          <w:color w:val="1F3864" w:themeColor="accent1" w:themeShade="80"/>
          <w:sz w:val="20"/>
          <w:szCs w:val="20"/>
        </w:rPr>
      </w:pPr>
    </w:p>
    <w:p w14:paraId="5D32C9F5" w14:textId="77777777" w:rsidR="00F257E6" w:rsidRPr="00C5216E" w:rsidRDefault="00F257E6" w:rsidP="00F257E6">
      <w:pPr>
        <w:jc w:val="both"/>
        <w:rPr>
          <w:rFonts w:ascii="Arial" w:hAnsi="Arial"/>
          <w:color w:val="1F3864" w:themeColor="accent1" w:themeShade="80"/>
          <w:sz w:val="20"/>
          <w:szCs w:val="20"/>
        </w:rPr>
      </w:pPr>
    </w:p>
    <w:p w14:paraId="613086FD" w14:textId="77777777" w:rsidR="00005A24" w:rsidRPr="00C5216E" w:rsidRDefault="00005A24">
      <w:pPr>
        <w:rPr>
          <w:color w:val="1F3864" w:themeColor="accent1" w:themeShade="80"/>
        </w:rPr>
      </w:pPr>
    </w:p>
    <w:sectPr w:rsidR="00005A24" w:rsidRPr="00C5216E" w:rsidSect="00C5216E">
      <w:headerReference w:type="first" r:id="rId38"/>
      <w:pgSz w:w="11906" w:h="16838"/>
      <w:pgMar w:top="708"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B7DBD" w14:textId="77777777" w:rsidR="003947AF" w:rsidRDefault="003947AF" w:rsidP="0055065F">
      <w:r>
        <w:separator/>
      </w:r>
    </w:p>
  </w:endnote>
  <w:endnote w:type="continuationSeparator" w:id="0">
    <w:p w14:paraId="757A79C6" w14:textId="77777777" w:rsidR="003947AF" w:rsidRDefault="003947AF" w:rsidP="00550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B0B3D" w14:textId="77777777" w:rsidR="003947AF" w:rsidRDefault="003947AF" w:rsidP="0055065F">
      <w:r>
        <w:separator/>
      </w:r>
    </w:p>
  </w:footnote>
  <w:footnote w:type="continuationSeparator" w:id="0">
    <w:p w14:paraId="04E30B7D" w14:textId="77777777" w:rsidR="003947AF" w:rsidRDefault="003947AF" w:rsidP="00550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6618" w14:textId="20C258C1" w:rsidR="0055065F" w:rsidRDefault="00C5216E" w:rsidP="00C5216E">
    <w:pPr>
      <w:pStyle w:val="Header"/>
      <w:jc w:val="center"/>
    </w:pPr>
    <w:r>
      <w:object w:dxaOrig="18350" w:dyaOrig="8070" w14:anchorId="19ACD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08.5pt;height:179.5pt" o:ole="">
          <v:imagedata r:id="rId1" o:title=""/>
        </v:shape>
        <o:OLEObject Type="Embed" ProgID="Paint.Picture" ShapeID="_x0000_i1035" DrawAspect="Content" ObjectID="_1712669071"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D71"/>
    <w:rsid w:val="00005A24"/>
    <w:rsid w:val="0014004A"/>
    <w:rsid w:val="0030525F"/>
    <w:rsid w:val="003947AF"/>
    <w:rsid w:val="003D056B"/>
    <w:rsid w:val="003F5FF2"/>
    <w:rsid w:val="004757E2"/>
    <w:rsid w:val="0055065F"/>
    <w:rsid w:val="00566E8C"/>
    <w:rsid w:val="00573D71"/>
    <w:rsid w:val="00595CBB"/>
    <w:rsid w:val="005F5B4B"/>
    <w:rsid w:val="0061021A"/>
    <w:rsid w:val="00715DA4"/>
    <w:rsid w:val="00775FAB"/>
    <w:rsid w:val="008C0B48"/>
    <w:rsid w:val="00AA088C"/>
    <w:rsid w:val="00B0712A"/>
    <w:rsid w:val="00BD116E"/>
    <w:rsid w:val="00BF6442"/>
    <w:rsid w:val="00C5216E"/>
    <w:rsid w:val="00CD6846"/>
    <w:rsid w:val="00D347F8"/>
    <w:rsid w:val="00E91B1E"/>
    <w:rsid w:val="00EC77E1"/>
    <w:rsid w:val="00EF556F"/>
    <w:rsid w:val="00F250D3"/>
    <w:rsid w:val="00F257E6"/>
    <w:rsid w:val="00FB48BC"/>
    <w:rsid w:val="00FE628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FA4DD"/>
  <w15:chartTrackingRefBased/>
  <w15:docId w15:val="{03282256-55CA-421D-9950-64DE2B7E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28F"/>
    <w:pPr>
      <w:spacing w:after="0" w:line="240" w:lineRule="auto"/>
    </w:pPr>
    <w:rPr>
      <w:rFonts w:ascii="Times New Roman" w:eastAsia="NSimSun" w:hAnsi="Times New Roman" w:cs="Arial"/>
      <w:kern w:val="2"/>
      <w:sz w:val="24"/>
      <w:szCs w:val="24"/>
      <w:lang w:val="sl-SI"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628F"/>
    <w:rPr>
      <w:color w:val="0563C1" w:themeColor="hyperlink"/>
      <w:u w:val="single"/>
    </w:rPr>
  </w:style>
  <w:style w:type="paragraph" w:styleId="Header">
    <w:name w:val="header"/>
    <w:basedOn w:val="Normal"/>
    <w:link w:val="HeaderChar"/>
    <w:uiPriority w:val="99"/>
    <w:unhideWhenUsed/>
    <w:rsid w:val="0055065F"/>
    <w:pPr>
      <w:tabs>
        <w:tab w:val="center" w:pos="4513"/>
        <w:tab w:val="right" w:pos="9026"/>
      </w:tabs>
    </w:pPr>
    <w:rPr>
      <w:rFonts w:cs="Mangal"/>
      <w:szCs w:val="21"/>
    </w:rPr>
  </w:style>
  <w:style w:type="character" w:customStyle="1" w:styleId="HeaderChar">
    <w:name w:val="Header Char"/>
    <w:basedOn w:val="DefaultParagraphFont"/>
    <w:link w:val="Header"/>
    <w:uiPriority w:val="99"/>
    <w:rsid w:val="0055065F"/>
    <w:rPr>
      <w:rFonts w:ascii="Times New Roman" w:eastAsia="NSimSun" w:hAnsi="Times New Roman" w:cs="Mangal"/>
      <w:kern w:val="2"/>
      <w:sz w:val="24"/>
      <w:szCs w:val="21"/>
      <w:lang w:val="sl-SI" w:eastAsia="zh-CN" w:bidi="hi-IN"/>
    </w:rPr>
  </w:style>
  <w:style w:type="paragraph" w:styleId="Footer">
    <w:name w:val="footer"/>
    <w:basedOn w:val="Normal"/>
    <w:link w:val="FooterChar"/>
    <w:uiPriority w:val="99"/>
    <w:unhideWhenUsed/>
    <w:rsid w:val="0055065F"/>
    <w:pPr>
      <w:tabs>
        <w:tab w:val="center" w:pos="4513"/>
        <w:tab w:val="right" w:pos="9026"/>
      </w:tabs>
    </w:pPr>
    <w:rPr>
      <w:rFonts w:cs="Mangal"/>
      <w:szCs w:val="21"/>
    </w:rPr>
  </w:style>
  <w:style w:type="character" w:customStyle="1" w:styleId="FooterChar">
    <w:name w:val="Footer Char"/>
    <w:basedOn w:val="DefaultParagraphFont"/>
    <w:link w:val="Footer"/>
    <w:uiPriority w:val="99"/>
    <w:rsid w:val="0055065F"/>
    <w:rPr>
      <w:rFonts w:ascii="Times New Roman" w:eastAsia="NSimSun" w:hAnsi="Times New Roman" w:cs="Mangal"/>
      <w:kern w:val="2"/>
      <w:sz w:val="24"/>
      <w:szCs w:val="21"/>
      <w:lang w:val="sl-SI"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tendering.ted.europa.eu/cft/cft-display.html?cftId=10054" TargetMode="External"/><Relationship Id="rId26" Type="http://schemas.openxmlformats.org/officeDocument/2006/relationships/oleObject" Target="embeddings/oleObject7.bin"/><Relationship Id="rId39" Type="http://schemas.openxmlformats.org/officeDocument/2006/relationships/fontTable" Target="fontTable.xml"/><Relationship Id="rId21" Type="http://schemas.openxmlformats.org/officeDocument/2006/relationships/hyperlink" Target="https://ec.europa.eu/info/food-farming-fisheries/farming/organic-farming/organic-action-plan/eu-organic-awards_sl" TargetMode="External"/><Relationship Id="rId34" Type="http://schemas.openxmlformats.org/officeDocument/2006/relationships/hyperlink" Target="https://eur-lex.europa.eu/legal-content/SL/TXT/HTML/?uri=CELEX:52021DC0800&amp;from=SL" TargetMode="External"/><Relationship Id="rId7" Type="http://schemas.openxmlformats.org/officeDocument/2006/relationships/oleObject" Target="embeddings/oleObject1.bin"/><Relationship Id="rId12" Type="http://schemas.openxmlformats.org/officeDocument/2006/relationships/hyperlink" Target="https://ec.europa.eu/health/health-emergency-preparedness-and-response-hera/advisory-forum_sl" TargetMode="External"/><Relationship Id="rId17" Type="http://schemas.openxmlformats.org/officeDocument/2006/relationships/oleObject" Target="embeddings/oleObject4.bin"/><Relationship Id="rId25" Type="http://schemas.openxmlformats.org/officeDocument/2006/relationships/image" Target="media/image7.png"/><Relationship Id="rId33" Type="http://schemas.openxmlformats.org/officeDocument/2006/relationships/hyperlink" Target="https://data.consilium.europa.eu/doc/document/ST-7728-2022-INIT/sl/pdf" TargetMode="External"/><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oleObject" Target="embeddings/oleObject5.bin"/><Relationship Id="rId29"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hyperlink" Target="https://www.esma.europa.eu/sites/default/files/library/esma32-63-1249_2021_corporate_reporting_enforcement_and_regulatory_activities.pdf" TargetMode="External"/><Relationship Id="rId32" Type="http://schemas.openxmlformats.org/officeDocument/2006/relationships/oleObject" Target="embeddings/oleObject9.bin"/><Relationship Id="rId37" Type="http://schemas.openxmlformats.org/officeDocument/2006/relationships/hyperlink" Target="https://ec.europa.eu/info/law/better-regulation/have-your-say/initiatives/12832-Energijska-ucinkovitost-zahteve-glede-okoljsko-primerne-zasnove-za-sesalnike-pregled-_sl"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ec.europa.eu/oceans-and-fisheries/news/blueinvest-commission-and-eif-agree-mobilise-eu500-million-new-equity-fund-blue-economy-2022-03-28_sl" TargetMode="External"/><Relationship Id="rId23" Type="http://schemas.openxmlformats.org/officeDocument/2006/relationships/oleObject" Target="embeddings/oleObject6.bin"/><Relationship Id="rId28" Type="http://schemas.openxmlformats.org/officeDocument/2006/relationships/image" Target="media/image8.png"/><Relationship Id="rId36"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galateaproject.eu/2243/" TargetMode="External"/><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hyperlink" Target="https://hadea.ec.europa.eu/calls-proposals/pig-stunning-grant-development-non-aversive-stunning-methods-pigs_sl" TargetMode="External"/><Relationship Id="rId30" Type="http://schemas.openxmlformats.org/officeDocument/2006/relationships/hyperlink" Target="https://transport.ec.europa.eu/transport-themes/clean-transport-urban-transport/alternative-fuels-sustainable-mobility-europe/renewable-and-low-carbon-fuels-value-chain-industrial-alliance_sl" TargetMode="External"/><Relationship Id="rId35" Type="http://schemas.openxmlformats.org/officeDocument/2006/relationships/image" Target="media/image10.png"/><Relationship Id="rId8" Type="http://schemas.openxmlformats.org/officeDocument/2006/relationships/hyperlink" Target="https://galateaproject.eu/" TargetMode="Externa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4633</Characters>
  <Application>Microsoft Office Word</Application>
  <DocSecurity>0</DocSecurity>
  <Lines>38</Lines>
  <Paragraphs>10</Paragraphs>
  <ScaleCrop>false</ScaleCrop>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Bostjan Sinkovec</dc:creator>
  <cp:keywords/>
  <dc:description/>
  <cp:lastModifiedBy>Bostjan Sinkovec</cp:lastModifiedBy>
  <cp:revision>28</cp:revision>
  <dcterms:created xsi:type="dcterms:W3CDTF">2022-04-25T15:10:00Z</dcterms:created>
  <dcterms:modified xsi:type="dcterms:W3CDTF">2022-04-28T14:36:00Z</dcterms:modified>
</cp:coreProperties>
</file>