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95B4" w14:textId="78832A1A" w:rsidR="008F7489" w:rsidRDefault="008F7489" w:rsidP="00A961CB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1F3864" w:themeColor="accent1" w:themeShade="80"/>
          <w:sz w:val="20"/>
          <w:szCs w:val="20"/>
        </w:rPr>
        <w:drawing>
          <wp:inline distT="0" distB="0" distL="0" distR="0" wp14:anchorId="78F01567" wp14:editId="352C8E6B">
            <wp:extent cx="2638247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04" cy="105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0171" w14:textId="190EE99B" w:rsidR="00A961CB" w:rsidRPr="004D4FF4" w:rsidRDefault="00A961CB" w:rsidP="00A961CB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Objavljeno je sporočilo o finančnih sankcijah v postopkih za ugotavljanje kršitev 2022</w:t>
      </w:r>
    </w:p>
    <w:p w14:paraId="75893EFD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2D426254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Evropska komisija je objavila sporočilo o finančnih sankcijah v postopkih za ugotavljanje kršitev 2022, ki posodablja način izračunavanja glob, kadar države članice kršijo zakonodajo EU.</w:t>
      </w:r>
    </w:p>
    <w:p w14:paraId="66C2F213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5FCDC0A1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7363D8BF" w14:textId="77777777" w:rsidR="00A961CB" w:rsidRPr="002F1AF4" w:rsidRDefault="00A961CB" w:rsidP="00A961CB">
      <w:pPr>
        <w:jc w:val="both"/>
        <w:rPr>
          <w:rFonts w:ascii="Arial" w:hAnsi="Arial"/>
          <w:color w:val="FFC000"/>
          <w:sz w:val="20"/>
          <w:szCs w:val="20"/>
        </w:rPr>
      </w:pPr>
      <w:hyperlink r:id="rId7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Sporočilo</w:t>
        </w:r>
      </w:hyperlink>
    </w:p>
    <w:p w14:paraId="587F05AE" w14:textId="67BD4BED" w:rsidR="00A961CB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416A3FB" w14:textId="77777777" w:rsidR="00C47CB1" w:rsidRPr="004D4FF4" w:rsidRDefault="00C47CB1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12C1AA15" w14:textId="1D661812" w:rsidR="00307021" w:rsidRPr="004D4FF4" w:rsidRDefault="008F7489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>
        <w:rPr>
          <w:rFonts w:ascii="Arial" w:hAnsi="Arial"/>
          <w:noProof/>
          <w:color w:val="1F3864" w:themeColor="accent1" w:themeShade="80"/>
          <w:sz w:val="20"/>
          <w:szCs w:val="20"/>
        </w:rPr>
        <w:drawing>
          <wp:inline distT="0" distB="0" distL="0" distR="0" wp14:anchorId="6B2C53A3" wp14:editId="7B62FF03">
            <wp:extent cx="2638247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71" cy="10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9CC70" w14:textId="77777777" w:rsidR="00A961CB" w:rsidRPr="004D4FF4" w:rsidRDefault="00A961CB" w:rsidP="00A961CB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Javno posvetovanje o metodologiji in postopkih za izračun nadomestila za nadzor</w:t>
      </w:r>
    </w:p>
    <w:p w14:paraId="3EF4B190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4C4CC916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Evropska komisija prek javnega posvetovanja do 19. januarja zbira mnenja in predloge o osnutku besedila z metodologijo in postopki za izračun nadomestila za nadzor v skladu z zakonom o digitalnih storitvah.</w:t>
      </w:r>
    </w:p>
    <w:p w14:paraId="38CB40C9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8813928" w14:textId="77777777" w:rsidR="00A961CB" w:rsidRPr="004D4FF4" w:rsidRDefault="00A961CB" w:rsidP="00A961CB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407AA114" w14:textId="77777777" w:rsidR="00A961CB" w:rsidRPr="002F1AF4" w:rsidRDefault="00A961CB" w:rsidP="00A961CB">
      <w:pPr>
        <w:jc w:val="both"/>
        <w:rPr>
          <w:rFonts w:ascii="Arial" w:hAnsi="Arial"/>
          <w:color w:val="FFC000"/>
          <w:sz w:val="20"/>
          <w:szCs w:val="20"/>
        </w:rPr>
      </w:pPr>
      <w:hyperlink r:id="rId9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Posvetovanje</w:t>
        </w:r>
      </w:hyperlink>
    </w:p>
    <w:p w14:paraId="652E344F" w14:textId="4248E126" w:rsidR="006C44ED" w:rsidRDefault="006C44ED">
      <w:pPr>
        <w:rPr>
          <w:rFonts w:ascii="Arial" w:hAnsi="Arial"/>
          <w:color w:val="1F3864" w:themeColor="accent1" w:themeShade="80"/>
        </w:rPr>
      </w:pPr>
    </w:p>
    <w:p w14:paraId="00F23A90" w14:textId="77777777" w:rsidR="00C47CB1" w:rsidRPr="004D4FF4" w:rsidRDefault="00C47CB1">
      <w:pPr>
        <w:rPr>
          <w:rFonts w:ascii="Arial" w:hAnsi="Arial"/>
          <w:color w:val="1F3864" w:themeColor="accent1" w:themeShade="80"/>
        </w:rPr>
      </w:pPr>
    </w:p>
    <w:p w14:paraId="555CA3AF" w14:textId="47C671D4" w:rsidR="00307021" w:rsidRPr="004D4FF4" w:rsidRDefault="00C47CB1">
      <w:pPr>
        <w:rPr>
          <w:rFonts w:ascii="Arial" w:hAnsi="Arial"/>
          <w:color w:val="1F3864" w:themeColor="accent1" w:themeShade="80"/>
        </w:rPr>
      </w:pPr>
      <w:r>
        <w:rPr>
          <w:rFonts w:ascii="Arial" w:hAnsi="Arial"/>
          <w:noProof/>
          <w:color w:val="1F3864" w:themeColor="accent1" w:themeShade="80"/>
        </w:rPr>
        <w:drawing>
          <wp:inline distT="0" distB="0" distL="0" distR="0" wp14:anchorId="050A8FCA" wp14:editId="0E3FD7DD">
            <wp:extent cx="2614479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07" cy="104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EF72" w14:textId="77777777" w:rsidR="00307021" w:rsidRPr="004D4FF4" w:rsidRDefault="00307021" w:rsidP="00307021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 xml:space="preserve">Podjetja iz EU lahko koristijo ameriško shemo olajšav za čista gospodarska vozila </w:t>
      </w:r>
    </w:p>
    <w:p w14:paraId="5832CE9D" w14:textId="77777777" w:rsidR="00307021" w:rsidRPr="004D4FF4" w:rsidRDefault="00307021" w:rsidP="0030702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302D53F3" w14:textId="77777777" w:rsidR="00307021" w:rsidRPr="004D4FF4" w:rsidRDefault="00307021" w:rsidP="0030702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Nova navodila, ki so jih izdale ZDA, po razlagi Evropske komisije potrjujejo, da lahko podjetja iz EU koristijo shemo olajšav za čista gospodarska vozila v okviru ameriškega zakona o zmanjšanju inflacije.</w:t>
      </w:r>
    </w:p>
    <w:p w14:paraId="55FA4EDE" w14:textId="77777777" w:rsidR="00307021" w:rsidRPr="004D4FF4" w:rsidRDefault="00307021" w:rsidP="0030702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EB08053" w14:textId="77777777" w:rsidR="00307021" w:rsidRPr="004D4FF4" w:rsidRDefault="00307021" w:rsidP="00307021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5437DCA6" w14:textId="77777777" w:rsidR="00307021" w:rsidRPr="002F1AF4" w:rsidRDefault="00307021" w:rsidP="00307021">
      <w:pPr>
        <w:jc w:val="both"/>
        <w:rPr>
          <w:rFonts w:ascii="Arial" w:hAnsi="Arial"/>
          <w:color w:val="FFC000"/>
          <w:sz w:val="20"/>
          <w:szCs w:val="20"/>
        </w:rPr>
      </w:pPr>
      <w:hyperlink r:id="rId11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Sporočilo Evropske komisije</w:t>
        </w:r>
      </w:hyperlink>
    </w:p>
    <w:p w14:paraId="44B2EC60" w14:textId="7EA82862" w:rsidR="00A961CB" w:rsidRPr="004D4FF4" w:rsidRDefault="00A961CB">
      <w:pPr>
        <w:rPr>
          <w:rFonts w:ascii="Arial" w:hAnsi="Arial"/>
          <w:color w:val="1F3864" w:themeColor="accent1" w:themeShade="80"/>
        </w:rPr>
      </w:pPr>
    </w:p>
    <w:p w14:paraId="14222A65" w14:textId="4D9F14FB" w:rsidR="00593604" w:rsidRPr="004D4FF4" w:rsidRDefault="00246D99">
      <w:pPr>
        <w:rPr>
          <w:rFonts w:ascii="Arial" w:hAnsi="Arial"/>
          <w:color w:val="1F3864" w:themeColor="accent1" w:themeShade="80"/>
        </w:rPr>
      </w:pPr>
      <w:r>
        <w:rPr>
          <w:rFonts w:ascii="Arial" w:hAnsi="Arial"/>
          <w:noProof/>
          <w:color w:val="1F3864" w:themeColor="accent1" w:themeShade="80"/>
        </w:rPr>
        <w:drawing>
          <wp:inline distT="0" distB="0" distL="0" distR="0" wp14:anchorId="7C399BD8" wp14:editId="0E3DD257">
            <wp:extent cx="2662015" cy="10668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24" cy="10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3A7A" w14:textId="77777777" w:rsidR="00593604" w:rsidRPr="004D4FF4" w:rsidRDefault="00593604" w:rsidP="00593604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Daljše prehodno obdobje za prilagoditev določbam uredbe o medicinskih pripomočkih</w:t>
      </w:r>
    </w:p>
    <w:p w14:paraId="28521CEF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12CC2A8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Evropska komisija predlaga daljše prehodno obdobje za certificiranje medicinskih pripomočkov v skladu z določbami uredbe o medicinskih pripomočkih.</w:t>
      </w:r>
    </w:p>
    <w:p w14:paraId="5D348BF5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43EA299E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094B76A8" w14:textId="77777777" w:rsidR="00593604" w:rsidRPr="002F1AF4" w:rsidRDefault="00593604" w:rsidP="00593604">
      <w:pPr>
        <w:jc w:val="both"/>
        <w:rPr>
          <w:rFonts w:ascii="Arial" w:hAnsi="Arial"/>
          <w:color w:val="FFC000"/>
          <w:sz w:val="20"/>
          <w:szCs w:val="20"/>
        </w:rPr>
      </w:pPr>
      <w:hyperlink r:id="rId13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Sporočilo Evropske komisije s povezavo na predlog sprememb</w:t>
        </w:r>
      </w:hyperlink>
    </w:p>
    <w:p w14:paraId="2F13BFDB" w14:textId="0B991700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B141333" w14:textId="52DB3D17" w:rsidR="0059360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3FC37DD0" w14:textId="71D2A556" w:rsidR="00006E93" w:rsidRPr="004D4FF4" w:rsidRDefault="00006E93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>
        <w:rPr>
          <w:rFonts w:ascii="Arial" w:hAnsi="Arial"/>
          <w:noProof/>
          <w:color w:val="1F3864" w:themeColor="accent1" w:themeShade="80"/>
          <w:sz w:val="20"/>
          <w:szCs w:val="20"/>
        </w:rPr>
        <w:lastRenderedPageBreak/>
        <w:drawing>
          <wp:inline distT="0" distB="0" distL="0" distR="0" wp14:anchorId="2166A111" wp14:editId="3B120F13">
            <wp:extent cx="2638247" cy="1057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07" cy="10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41093" w14:textId="77777777" w:rsidR="00593604" w:rsidRPr="004D4FF4" w:rsidRDefault="00593604" w:rsidP="00593604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Začela je delovati nova platforma EU za delovne migracije</w:t>
      </w:r>
    </w:p>
    <w:p w14:paraId="4DEC8CFA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6E927CB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Delovati je začela nova platforma EU za delovne migracije, ki je bila ustanovljena z namenom privabljanje oseb s potrebnimi znanji in spretnostmi ter talentov iz tretjih držav v EU.</w:t>
      </w:r>
    </w:p>
    <w:p w14:paraId="39A84979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8177FAD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0889C5BA" w14:textId="77777777" w:rsidR="00593604" w:rsidRPr="002F1AF4" w:rsidRDefault="00593604" w:rsidP="00593604">
      <w:pPr>
        <w:jc w:val="both"/>
        <w:rPr>
          <w:rFonts w:ascii="Arial" w:hAnsi="Arial"/>
          <w:color w:val="FFC000"/>
          <w:sz w:val="20"/>
          <w:szCs w:val="20"/>
        </w:rPr>
      </w:pPr>
      <w:hyperlink r:id="rId15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Sporočilo o vzpostavitvi platforme</w:t>
        </w:r>
      </w:hyperlink>
    </w:p>
    <w:p w14:paraId="287314B0" w14:textId="1C3147D9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299E0BC7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C1F3B85" w14:textId="25006775" w:rsidR="00A30A14" w:rsidRDefault="00A30A14" w:rsidP="00593604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1F3864" w:themeColor="accent1" w:themeShade="80"/>
          <w:sz w:val="20"/>
          <w:szCs w:val="20"/>
        </w:rPr>
        <w:drawing>
          <wp:inline distT="0" distB="0" distL="0" distR="0" wp14:anchorId="1F9F5305" wp14:editId="646789C9">
            <wp:extent cx="2661920" cy="1066762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34" cy="1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6C8B" w14:textId="57C3C311" w:rsidR="00593604" w:rsidRPr="004D4FF4" w:rsidRDefault="00593604" w:rsidP="00593604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 xml:space="preserve">Sodba glede paketnih potovanj, na katere so vplivali protikoronski ukrepi </w:t>
      </w:r>
    </w:p>
    <w:p w14:paraId="6C69EAB5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365E1645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Potniki, na katerih paketno potovanje so vplivali protikoronski ukrepi, imajo lahko pravico do znižanja cene potovanja, jer razsodilo Sodišče EU.</w:t>
      </w:r>
    </w:p>
    <w:p w14:paraId="528919ED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0B47029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553FD7A5" w14:textId="77777777" w:rsidR="00593604" w:rsidRPr="002F1AF4" w:rsidRDefault="00593604" w:rsidP="00593604">
      <w:pPr>
        <w:jc w:val="both"/>
        <w:rPr>
          <w:rFonts w:ascii="Arial" w:hAnsi="Arial"/>
          <w:color w:val="FFC000"/>
          <w:sz w:val="20"/>
          <w:szCs w:val="20"/>
        </w:rPr>
      </w:pPr>
      <w:hyperlink r:id="rId17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Sodba</w:t>
        </w:r>
      </w:hyperlink>
    </w:p>
    <w:p w14:paraId="755B692F" w14:textId="2F3690C2" w:rsidR="00593604" w:rsidRPr="004D4FF4" w:rsidRDefault="00593604">
      <w:pPr>
        <w:rPr>
          <w:rFonts w:ascii="Arial" w:hAnsi="Arial"/>
          <w:color w:val="1F3864" w:themeColor="accent1" w:themeShade="80"/>
        </w:rPr>
      </w:pPr>
    </w:p>
    <w:p w14:paraId="5B5C368B" w14:textId="7BA56B0D" w:rsidR="00593604" w:rsidRPr="004D4FF4" w:rsidRDefault="00593604">
      <w:pPr>
        <w:rPr>
          <w:rFonts w:ascii="Arial" w:hAnsi="Arial"/>
          <w:color w:val="1F3864" w:themeColor="accent1" w:themeShade="80"/>
        </w:rPr>
      </w:pPr>
    </w:p>
    <w:p w14:paraId="52858C66" w14:textId="407095BE" w:rsidR="00EA25C8" w:rsidRDefault="00EA25C8" w:rsidP="00593604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>
        <w:rPr>
          <w:rFonts w:ascii="Arial" w:hAnsi="Arial"/>
          <w:b/>
          <w:bCs/>
          <w:noProof/>
          <w:color w:val="1F3864" w:themeColor="accent1" w:themeShade="80"/>
          <w:sz w:val="20"/>
          <w:szCs w:val="20"/>
        </w:rPr>
        <w:drawing>
          <wp:inline distT="0" distB="0" distL="0" distR="0" wp14:anchorId="19F20A2E" wp14:editId="22F871E7">
            <wp:extent cx="2638245" cy="1057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71" cy="105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9192" w14:textId="63FBEB7A" w:rsidR="00593604" w:rsidRPr="004D4FF4" w:rsidRDefault="00593604" w:rsidP="00593604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Posvetovanje o smernicah za sporazume o trajnostnem razvoju v kmetijstvu</w:t>
      </w:r>
    </w:p>
    <w:p w14:paraId="1F255C6B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7572832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Evropska komisija prek javnega posvetovanja do 24. aprila zbira mnenja in predloge o osnutku smernic za sporazume o trajnostnem razvoju v kmetijstvu.</w:t>
      </w:r>
    </w:p>
    <w:p w14:paraId="65ADF043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5CE71BF8" w14:textId="77777777" w:rsidR="00593604" w:rsidRPr="004D4FF4" w:rsidRDefault="00593604" w:rsidP="00593604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2928ECEF" w14:textId="77777777" w:rsidR="00593604" w:rsidRPr="002F1AF4" w:rsidRDefault="00593604" w:rsidP="00593604">
      <w:pPr>
        <w:jc w:val="both"/>
        <w:rPr>
          <w:rFonts w:ascii="Arial" w:hAnsi="Arial"/>
          <w:color w:val="FFC000"/>
          <w:sz w:val="20"/>
          <w:szCs w:val="20"/>
        </w:rPr>
      </w:pPr>
      <w:hyperlink r:id="rId19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Posvetovanje</w:t>
        </w:r>
      </w:hyperlink>
      <w:r w:rsidRPr="002F1AF4">
        <w:rPr>
          <w:rFonts w:ascii="Arial" w:hAnsi="Arial"/>
          <w:color w:val="FFC000"/>
          <w:sz w:val="20"/>
          <w:szCs w:val="20"/>
        </w:rPr>
        <w:t xml:space="preserve"> </w:t>
      </w:r>
    </w:p>
    <w:p w14:paraId="1408DBE5" w14:textId="22165F9F" w:rsidR="00593604" w:rsidRPr="004D4FF4" w:rsidRDefault="00593604">
      <w:pPr>
        <w:rPr>
          <w:rFonts w:ascii="Arial" w:hAnsi="Arial"/>
          <w:color w:val="1F3864" w:themeColor="accent1" w:themeShade="80"/>
        </w:rPr>
      </w:pPr>
    </w:p>
    <w:p w14:paraId="4F5F2596" w14:textId="4CDB49F9" w:rsidR="00593604" w:rsidRDefault="00593604">
      <w:pPr>
        <w:rPr>
          <w:rFonts w:ascii="Arial" w:hAnsi="Arial"/>
          <w:color w:val="1F3864" w:themeColor="accent1" w:themeShade="80"/>
        </w:rPr>
      </w:pPr>
    </w:p>
    <w:p w14:paraId="13B1A243" w14:textId="68E79694" w:rsidR="006F1CAE" w:rsidRPr="004D4FF4" w:rsidRDefault="006F1CAE">
      <w:pPr>
        <w:rPr>
          <w:rFonts w:ascii="Arial" w:hAnsi="Arial"/>
          <w:color w:val="1F3864" w:themeColor="accent1" w:themeShade="80"/>
        </w:rPr>
      </w:pPr>
      <w:r>
        <w:rPr>
          <w:rFonts w:ascii="Arial" w:hAnsi="Arial"/>
          <w:noProof/>
          <w:color w:val="1F3864" w:themeColor="accent1" w:themeShade="80"/>
        </w:rPr>
        <w:drawing>
          <wp:inline distT="0" distB="0" distL="0" distR="0" wp14:anchorId="000EE88A" wp14:editId="3014103F">
            <wp:extent cx="2685783" cy="107632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21" cy="107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BA96" w14:textId="77777777" w:rsidR="00200EB3" w:rsidRPr="004D4FF4" w:rsidRDefault="00200EB3" w:rsidP="00200EB3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Odprto je javno posvetovanje o izmenjavi informacij, povezanih z varnostjo</w:t>
      </w:r>
    </w:p>
    <w:p w14:paraId="130CE5CF" w14:textId="7777777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70D8FD74" w14:textId="7777777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Evropska komisija prek javnega posvetovanja do 16. marca, zbira mnenja in predloge o novem zakonodajnem predlogu za izmenjavo informacij, povezanih z varnostjo, med EU in tretjimi državami.</w:t>
      </w:r>
    </w:p>
    <w:p w14:paraId="4F804160" w14:textId="7777777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0658F1FF" w14:textId="7777777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1D486941" w14:textId="77777777" w:rsidR="00200EB3" w:rsidRPr="002F1AF4" w:rsidRDefault="00200EB3" w:rsidP="00200EB3">
      <w:pPr>
        <w:jc w:val="both"/>
        <w:rPr>
          <w:rFonts w:ascii="Arial" w:hAnsi="Arial"/>
          <w:color w:val="FFC000"/>
          <w:sz w:val="20"/>
          <w:szCs w:val="20"/>
        </w:rPr>
      </w:pPr>
      <w:hyperlink r:id="rId21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Posvetovanje</w:t>
        </w:r>
      </w:hyperlink>
    </w:p>
    <w:p w14:paraId="60EA99DC" w14:textId="74C05D80" w:rsidR="00593604" w:rsidRPr="004D4FF4" w:rsidRDefault="00593604">
      <w:pPr>
        <w:rPr>
          <w:rFonts w:ascii="Arial" w:hAnsi="Arial"/>
          <w:color w:val="1F3864" w:themeColor="accent1" w:themeShade="80"/>
        </w:rPr>
      </w:pPr>
    </w:p>
    <w:p w14:paraId="12CFEF04" w14:textId="017E676D" w:rsidR="00200EB3" w:rsidRDefault="00200EB3">
      <w:pPr>
        <w:rPr>
          <w:rFonts w:ascii="Arial" w:hAnsi="Arial"/>
          <w:color w:val="1F3864" w:themeColor="accent1" w:themeShade="80"/>
        </w:rPr>
      </w:pPr>
    </w:p>
    <w:p w14:paraId="69527A84" w14:textId="6BB789EE" w:rsidR="007E2F15" w:rsidRPr="004D4FF4" w:rsidRDefault="007E2F15">
      <w:pPr>
        <w:rPr>
          <w:rFonts w:ascii="Arial" w:hAnsi="Arial"/>
          <w:color w:val="1F3864" w:themeColor="accent1" w:themeShade="80"/>
        </w:rPr>
      </w:pPr>
      <w:r>
        <w:rPr>
          <w:rFonts w:ascii="Arial" w:hAnsi="Arial"/>
          <w:noProof/>
          <w:color w:val="1F3864" w:themeColor="accent1" w:themeShade="80"/>
        </w:rPr>
        <w:drawing>
          <wp:inline distT="0" distB="0" distL="0" distR="0" wp14:anchorId="47B6C8B7" wp14:editId="04ECAECD">
            <wp:extent cx="2638247" cy="1057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7" cy="10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C47D" w14:textId="77777777" w:rsidR="00200EB3" w:rsidRPr="004D4FF4" w:rsidRDefault="00200EB3" w:rsidP="00200EB3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Objavljen je drugi razpis za pametna omrežja in storitve</w:t>
      </w:r>
    </w:p>
    <w:p w14:paraId="5BB1AE0D" w14:textId="7777777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4A6F0B41" w14:textId="3181363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 xml:space="preserve">Objavljen je drugi razpis za pametna omrežja in storitve. Rok za oddajo predlogov je 25. april. </w:t>
      </w:r>
    </w:p>
    <w:p w14:paraId="210F90FC" w14:textId="7777777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6D00BB04" w14:textId="3157E2E1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1EDC0791" w14:textId="717C9E23" w:rsidR="00200EB3" w:rsidRPr="002F1AF4" w:rsidRDefault="00200EB3" w:rsidP="00200EB3">
      <w:pPr>
        <w:jc w:val="both"/>
        <w:rPr>
          <w:rStyle w:val="Hyperlink"/>
          <w:rFonts w:ascii="Arial" w:hAnsi="Arial"/>
          <w:color w:val="FFC000"/>
          <w:sz w:val="20"/>
          <w:szCs w:val="20"/>
        </w:rPr>
      </w:pPr>
      <w:hyperlink r:id="rId23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Razpis</w:t>
        </w:r>
      </w:hyperlink>
    </w:p>
    <w:p w14:paraId="54CB9781" w14:textId="21801432" w:rsidR="006B443C" w:rsidRPr="004D4FF4" w:rsidRDefault="006B443C" w:rsidP="00200EB3">
      <w:pPr>
        <w:jc w:val="both"/>
        <w:rPr>
          <w:rStyle w:val="Hyperlink"/>
          <w:rFonts w:ascii="Arial" w:hAnsi="Arial"/>
          <w:color w:val="1F3864" w:themeColor="accent1" w:themeShade="80"/>
          <w:sz w:val="20"/>
          <w:szCs w:val="20"/>
        </w:rPr>
      </w:pPr>
    </w:p>
    <w:p w14:paraId="2A6C167D" w14:textId="77777777" w:rsidR="007E2F15" w:rsidRDefault="007E2F15" w:rsidP="006B443C">
      <w:pPr>
        <w:jc w:val="both"/>
        <w:rPr>
          <w:rStyle w:val="Hyperlink"/>
          <w:rFonts w:ascii="Arial" w:hAnsi="Arial"/>
          <w:b/>
          <w:bCs/>
          <w:color w:val="1F3864" w:themeColor="accent1" w:themeShade="80"/>
          <w:sz w:val="20"/>
          <w:szCs w:val="20"/>
        </w:rPr>
      </w:pPr>
    </w:p>
    <w:p w14:paraId="4259E881" w14:textId="5D3178B2" w:rsidR="006B443C" w:rsidRPr="004D4FF4" w:rsidRDefault="007E2F15" w:rsidP="006B443C">
      <w:pPr>
        <w:jc w:val="both"/>
        <w:rPr>
          <w:rFonts w:ascii="Arial" w:hAnsi="Arial"/>
          <w:b/>
          <w:bCs/>
          <w:color w:val="1F3864" w:themeColor="accent1" w:themeShade="80"/>
          <w:sz w:val="20"/>
          <w:szCs w:val="20"/>
        </w:rPr>
      </w:pPr>
      <w:r w:rsidRPr="007E2F15">
        <w:rPr>
          <w:rStyle w:val="Hyperlink"/>
          <w:rFonts w:ascii="Arial" w:hAnsi="Arial"/>
          <w:b/>
          <w:bCs/>
          <w:noProof/>
          <w:color w:val="1F3864" w:themeColor="accent1" w:themeShade="80"/>
          <w:sz w:val="20"/>
          <w:szCs w:val="20"/>
          <w:u w:val="none"/>
        </w:rPr>
        <w:drawing>
          <wp:inline distT="0" distB="0" distL="0" distR="0" wp14:anchorId="4163FF79" wp14:editId="4A20EA40">
            <wp:extent cx="2638247" cy="1057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40" cy="10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43C" w:rsidRPr="004D4FF4">
        <w:rPr>
          <w:rStyle w:val="Hyperlink"/>
          <w:rFonts w:ascii="Arial" w:hAnsi="Arial"/>
          <w:b/>
          <w:bCs/>
          <w:color w:val="1F3864" w:themeColor="accent1" w:themeShade="80"/>
          <w:sz w:val="20"/>
          <w:szCs w:val="20"/>
        </w:rPr>
        <w:br/>
      </w:r>
      <w:r w:rsidR="006B443C" w:rsidRPr="004D4FF4">
        <w:rPr>
          <w:rFonts w:ascii="Arial" w:hAnsi="Arial"/>
          <w:b/>
          <w:bCs/>
          <w:color w:val="1F3864" w:themeColor="accent1" w:themeShade="80"/>
          <w:sz w:val="20"/>
          <w:szCs w:val="20"/>
        </w:rPr>
        <w:t>Objavljen je pregled odprtih razpisov in pozivov programa EU za zdravje (EU4Health)</w:t>
      </w:r>
    </w:p>
    <w:p w14:paraId="0E396E50" w14:textId="77777777" w:rsidR="006B443C" w:rsidRPr="004D4FF4" w:rsidRDefault="006B443C" w:rsidP="006B443C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4C49B78C" w14:textId="77777777" w:rsidR="006B443C" w:rsidRPr="004D4FF4" w:rsidRDefault="006B443C" w:rsidP="006B443C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Evropska komisija je objavila pregled odprtih razpisov in pozivov prek katerih so na voljo evropska sredstva iz programa za zdravje (EU4Health).</w:t>
      </w:r>
    </w:p>
    <w:p w14:paraId="43135073" w14:textId="77777777" w:rsidR="006B443C" w:rsidRPr="004D4FF4" w:rsidRDefault="006B443C" w:rsidP="006B443C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57021668" w14:textId="77777777" w:rsidR="006B443C" w:rsidRPr="004D4FF4" w:rsidRDefault="006B443C" w:rsidP="006B443C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  <w:r w:rsidRPr="004D4FF4">
        <w:rPr>
          <w:rFonts w:ascii="Arial" w:hAnsi="Arial"/>
          <w:color w:val="1F3864" w:themeColor="accent1" w:themeShade="80"/>
          <w:sz w:val="20"/>
          <w:szCs w:val="20"/>
        </w:rPr>
        <w:t>Več:</w:t>
      </w:r>
    </w:p>
    <w:p w14:paraId="06226A54" w14:textId="77777777" w:rsidR="006B443C" w:rsidRPr="002F1AF4" w:rsidRDefault="006B443C" w:rsidP="006B443C">
      <w:pPr>
        <w:jc w:val="both"/>
        <w:rPr>
          <w:rFonts w:ascii="Arial" w:hAnsi="Arial"/>
          <w:color w:val="FFC000"/>
          <w:sz w:val="20"/>
          <w:szCs w:val="20"/>
        </w:rPr>
      </w:pPr>
      <w:hyperlink r:id="rId25" w:history="1">
        <w:r w:rsidRPr="002F1AF4">
          <w:rPr>
            <w:rStyle w:val="Hyperlink"/>
            <w:rFonts w:ascii="Arial" w:hAnsi="Arial"/>
            <w:color w:val="FFC000"/>
            <w:sz w:val="20"/>
            <w:szCs w:val="20"/>
          </w:rPr>
          <w:t>Pregled</w:t>
        </w:r>
      </w:hyperlink>
    </w:p>
    <w:p w14:paraId="2F16CAFC" w14:textId="77777777" w:rsidR="00693648" w:rsidRPr="004D4FF4" w:rsidRDefault="00693648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  <w:sectPr w:rsidR="00693648" w:rsidRPr="004D4FF4" w:rsidSect="00996FB9">
          <w:headerReference w:type="first" r:id="rId26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49937DF5" w14:textId="7155C41F" w:rsidR="006B443C" w:rsidRPr="004D4FF4" w:rsidRDefault="006B443C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p w14:paraId="13A793C1" w14:textId="77777777" w:rsidR="00200EB3" w:rsidRPr="004D4FF4" w:rsidRDefault="00200EB3" w:rsidP="00200EB3">
      <w:pPr>
        <w:jc w:val="both"/>
        <w:rPr>
          <w:rFonts w:ascii="Arial" w:hAnsi="Arial"/>
          <w:color w:val="1F3864" w:themeColor="accent1" w:themeShade="80"/>
          <w:sz w:val="20"/>
          <w:szCs w:val="20"/>
        </w:rPr>
      </w:pPr>
    </w:p>
    <w:sectPr w:rsidR="00200EB3" w:rsidRPr="004D4FF4" w:rsidSect="0069364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6ACE" w14:textId="77777777" w:rsidR="00096098" w:rsidRDefault="00096098" w:rsidP="00996FB9">
      <w:r>
        <w:separator/>
      </w:r>
    </w:p>
  </w:endnote>
  <w:endnote w:type="continuationSeparator" w:id="0">
    <w:p w14:paraId="4FFD3A46" w14:textId="77777777" w:rsidR="00096098" w:rsidRDefault="00096098" w:rsidP="0099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F8D9" w14:textId="77777777" w:rsidR="00096098" w:rsidRDefault="00096098" w:rsidP="00996FB9">
      <w:r>
        <w:separator/>
      </w:r>
    </w:p>
  </w:footnote>
  <w:footnote w:type="continuationSeparator" w:id="0">
    <w:p w14:paraId="7D429030" w14:textId="77777777" w:rsidR="00096098" w:rsidRDefault="00096098" w:rsidP="0099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C376" w14:textId="4A1D3912" w:rsidR="00996FB9" w:rsidRDefault="00996FB9">
    <w:pPr>
      <w:pStyle w:val="Header"/>
    </w:pPr>
    <w:r>
      <w:rPr>
        <w:noProof/>
      </w:rPr>
      <w:drawing>
        <wp:inline distT="0" distB="0" distL="0" distR="0" wp14:anchorId="1F654B60" wp14:editId="1E33F3D0">
          <wp:extent cx="5715000" cy="260032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B"/>
    <w:rsid w:val="00006E93"/>
    <w:rsid w:val="00096098"/>
    <w:rsid w:val="00200EB3"/>
    <w:rsid w:val="00246D99"/>
    <w:rsid w:val="002C5F47"/>
    <w:rsid w:val="002F1AF4"/>
    <w:rsid w:val="00307021"/>
    <w:rsid w:val="004D4FF4"/>
    <w:rsid w:val="00593604"/>
    <w:rsid w:val="00693648"/>
    <w:rsid w:val="006B443C"/>
    <w:rsid w:val="006C44ED"/>
    <w:rsid w:val="006F1CAE"/>
    <w:rsid w:val="007E2F15"/>
    <w:rsid w:val="008F7489"/>
    <w:rsid w:val="00987BAD"/>
    <w:rsid w:val="00996FB9"/>
    <w:rsid w:val="00A30A14"/>
    <w:rsid w:val="00A961CB"/>
    <w:rsid w:val="00C47CB1"/>
    <w:rsid w:val="00EA25C8"/>
    <w:rsid w:val="00FC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B8315"/>
  <w15:chartTrackingRefBased/>
  <w15:docId w15:val="{8C7454FB-B299-4B4E-9F82-9C601AF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CB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sl-SI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1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F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FB9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96FB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FB9"/>
    <w:rPr>
      <w:rFonts w:ascii="Times New Roman" w:eastAsia="NSimSun" w:hAnsi="Times New Roman" w:cs="Mangal"/>
      <w:kern w:val="2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c.europa.eu/commission/presscorner/detail/sl/ip_23_23" TargetMode="External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ec.europa.eu/info/law/better-regulation/have-your-say/initiatives/13243-Izmenjava-informacij-povezanih-z-varnostjo-vzajemni-dostop-za-uradnike-na-terenu-v-EU-in-v-kljucnih-partnerskih-drzavah_sl" TargetMode="External"/><Relationship Id="rId7" Type="http://schemas.openxmlformats.org/officeDocument/2006/relationships/hyperlink" Target="https://commission.europa.eu/document/18d3e4e4-c337-496b-af98-77729fea0c19_s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curia.europa.eu/juris/documents.jsf?num=C-396/21" TargetMode="External"/><Relationship Id="rId25" Type="http://schemas.openxmlformats.org/officeDocument/2006/relationships/hyperlink" Target="https://hadea.ec.europa.eu/news/current-open-calls-under-eu4health-programme-2023-01-17_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c.europa.eu/commission/presscorner/detail/sl/IP_22_7869" TargetMode="External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hyperlink" Target="https://home-affairs.ec.europa.eu/news/labour-migration-commission-and-member-states-advance-cooperation-through-new-platform-2023-01-10_sl" TargetMode="External"/><Relationship Id="rId23" Type="http://schemas.openxmlformats.org/officeDocument/2006/relationships/hyperlink" Target="https://ec.europa.eu/info/funding-tenders/opportunities/portal/screen/opportunities/topic-search;callCode=null;freeTextSearchKeyword=sns;matchWholeText=true;typeCodes=1,0;statusCodes=31094501,31094502;programmePeriod=null;programCcm2Id=43108390;programDivi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ompetition-policy.ec.europa.eu/public-consultations/2023-sustainability-agreements-agriculture_s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info/law/better-regulation/have-your-say/initiatives/13625-Akt-o-digitalnih-storitvah-metodologija-za-izracun-pristojbine-za-nadzor_s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Sinkovec</dc:creator>
  <cp:keywords/>
  <dc:description/>
  <cp:lastModifiedBy>Bostjan Sinkovec</cp:lastModifiedBy>
  <cp:revision>2</cp:revision>
  <dcterms:created xsi:type="dcterms:W3CDTF">2023-01-26T12:52:00Z</dcterms:created>
  <dcterms:modified xsi:type="dcterms:W3CDTF">2023-01-26T12:52:00Z</dcterms:modified>
</cp:coreProperties>
</file>