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E1" w:rsidRPr="00D5331F" w:rsidRDefault="000102E1" w:rsidP="000102E1">
      <w:pPr>
        <w:tabs>
          <w:tab w:val="left" w:pos="2520"/>
          <w:tab w:val="left" w:pos="2700"/>
          <w:tab w:val="left" w:pos="3120"/>
        </w:tabs>
        <w:jc w:val="center"/>
      </w:pPr>
      <w:r w:rsidRPr="00D5331F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2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2E1" w:rsidRPr="00C446CC" w:rsidRDefault="000102E1" w:rsidP="000102E1">
      <w:pPr>
        <w:pStyle w:val="Naslov2"/>
        <w:tabs>
          <w:tab w:val="left" w:pos="3120"/>
        </w:tabs>
        <w:jc w:val="center"/>
        <w:rPr>
          <w:b/>
          <w:bCs/>
          <w:i/>
          <w:iCs/>
          <w:sz w:val="22"/>
        </w:rPr>
      </w:pPr>
      <w:r w:rsidRPr="00C446CC">
        <w:rPr>
          <w:sz w:val="22"/>
        </w:rPr>
        <w:t>Slovensko gospodarsko in raziskovalno združenje, Bruselj</w:t>
      </w:r>
    </w:p>
    <w:p w:rsidR="000102E1" w:rsidRPr="00C446CC" w:rsidRDefault="000102E1" w:rsidP="000102E1">
      <w:pPr>
        <w:pBdr>
          <w:bottom w:val="single" w:sz="6" w:space="1" w:color="auto"/>
        </w:pBdr>
        <w:tabs>
          <w:tab w:val="left" w:pos="3120"/>
        </w:tabs>
        <w:jc w:val="center"/>
        <w:rPr>
          <w:sz w:val="16"/>
          <w:szCs w:val="16"/>
        </w:rPr>
      </w:pPr>
    </w:p>
    <w:p w:rsidR="000102E1" w:rsidRDefault="000102E1" w:rsidP="000102E1">
      <w:pPr>
        <w:tabs>
          <w:tab w:val="left" w:pos="3120"/>
        </w:tabs>
        <w:spacing w:after="0" w:afterAutospacing="0"/>
        <w:rPr>
          <w:b/>
        </w:rPr>
      </w:pPr>
      <w:r w:rsidRPr="00C446CC">
        <w:rPr>
          <w:b/>
        </w:rPr>
        <w:tab/>
      </w:r>
    </w:p>
    <w:p w:rsidR="000102E1" w:rsidRPr="003227EF" w:rsidRDefault="000102E1" w:rsidP="000102E1">
      <w:pPr>
        <w:tabs>
          <w:tab w:val="left" w:pos="3120"/>
        </w:tabs>
        <w:spacing w:after="0" w:afterAutospacing="0"/>
        <w:jc w:val="center"/>
        <w:rPr>
          <w:b/>
        </w:rPr>
      </w:pPr>
      <w:r w:rsidRPr="003227EF">
        <w:rPr>
          <w:b/>
        </w:rPr>
        <w:t>Občasna informacija članom 1</w:t>
      </w:r>
      <w:r>
        <w:rPr>
          <w:b/>
        </w:rPr>
        <w:t>7</w:t>
      </w:r>
      <w:r w:rsidRPr="003227EF">
        <w:rPr>
          <w:b/>
        </w:rPr>
        <w:t xml:space="preserve"> – 2019</w:t>
      </w:r>
    </w:p>
    <w:p w:rsidR="000102E1" w:rsidRDefault="000102E1" w:rsidP="000102E1">
      <w:pPr>
        <w:tabs>
          <w:tab w:val="left" w:pos="3120"/>
        </w:tabs>
        <w:spacing w:after="0" w:afterAutospacing="0"/>
        <w:jc w:val="center"/>
        <w:rPr>
          <w:b/>
        </w:rPr>
      </w:pPr>
    </w:p>
    <w:p w:rsidR="000102E1" w:rsidRPr="003227EF" w:rsidRDefault="000102E1" w:rsidP="000102E1">
      <w:pPr>
        <w:tabs>
          <w:tab w:val="left" w:pos="3120"/>
        </w:tabs>
        <w:spacing w:after="0" w:afterAutospacing="0"/>
        <w:jc w:val="center"/>
        <w:rPr>
          <w:b/>
        </w:rPr>
      </w:pPr>
      <w:r>
        <w:rPr>
          <w:b/>
        </w:rPr>
        <w:t>04</w:t>
      </w:r>
      <w:r w:rsidRPr="003227EF">
        <w:rPr>
          <w:b/>
        </w:rPr>
        <w:t xml:space="preserve">. </w:t>
      </w:r>
      <w:r>
        <w:rPr>
          <w:b/>
        </w:rPr>
        <w:t>februar</w:t>
      </w:r>
      <w:r w:rsidRPr="003227EF">
        <w:rPr>
          <w:b/>
        </w:rPr>
        <w:t xml:space="preserve"> 2019</w:t>
      </w:r>
    </w:p>
    <w:p w:rsidR="000102E1" w:rsidRDefault="000102E1" w:rsidP="000102E1">
      <w:pPr>
        <w:spacing w:after="0" w:afterAutospacing="0"/>
        <w:rPr>
          <w:b/>
          <w:color w:val="993300"/>
          <w:sz w:val="32"/>
          <w:szCs w:val="32"/>
        </w:rPr>
      </w:pPr>
    </w:p>
    <w:p w:rsidR="000102E1" w:rsidRDefault="000102E1" w:rsidP="004806E1">
      <w:pPr>
        <w:jc w:val="center"/>
        <w:rPr>
          <w:rFonts w:ascii="Arial" w:hAnsi="Arial" w:cs="Arial"/>
          <w:b/>
          <w:i/>
        </w:rPr>
      </w:pPr>
      <w:r>
        <w:rPr>
          <w:b/>
          <w:color w:val="993300"/>
          <w:sz w:val="32"/>
          <w:szCs w:val="32"/>
        </w:rPr>
        <w:t>Posvetovanja Evropske komisije za preučitev možnosti za po</w:t>
      </w:r>
      <w:r w:rsidR="004806E1">
        <w:rPr>
          <w:b/>
          <w:color w:val="993300"/>
          <w:sz w:val="32"/>
          <w:szCs w:val="32"/>
        </w:rPr>
        <w:t>večanje mednarodne vloge evra</w:t>
      </w:r>
    </w:p>
    <w:p w:rsidR="004B1DE5" w:rsidRPr="000102E1" w:rsidRDefault="00502070" w:rsidP="000102E1">
      <w:pPr>
        <w:rPr>
          <w:rFonts w:ascii="Arial" w:hAnsi="Arial" w:cs="Arial"/>
          <w:b/>
          <w:i/>
        </w:rPr>
      </w:pPr>
      <w:r w:rsidRPr="000102E1">
        <w:rPr>
          <w:rFonts w:ascii="Arial" w:hAnsi="Arial" w:cs="Arial"/>
          <w:b/>
          <w:i/>
        </w:rPr>
        <w:t xml:space="preserve">Evropska komisija je začela </w:t>
      </w:r>
      <w:r w:rsidR="002E2E89" w:rsidRPr="000102E1">
        <w:rPr>
          <w:rFonts w:ascii="Arial" w:hAnsi="Arial" w:cs="Arial"/>
          <w:b/>
          <w:i/>
        </w:rPr>
        <w:t>posvetovanja</w:t>
      </w:r>
      <w:r w:rsidRPr="000102E1">
        <w:rPr>
          <w:rFonts w:ascii="Arial" w:hAnsi="Arial" w:cs="Arial"/>
          <w:b/>
          <w:i/>
        </w:rPr>
        <w:t xml:space="preserve"> za preučitev možnosti za povečanje mednarodne vloge evra. Tokratno posvetovanje je namenjeno finančnim institucijam in drugim deležnikom, ki se dobro spoznajo na mednarodne devizne trge. </w:t>
      </w:r>
      <w:r w:rsidR="002E2E89" w:rsidRPr="000102E1">
        <w:rPr>
          <w:rFonts w:ascii="Arial" w:hAnsi="Arial" w:cs="Arial"/>
          <w:b/>
          <w:i/>
        </w:rPr>
        <w:t xml:space="preserve">Pred tem posvetovanjem je Evropska komisija že začela posvetovanja za preučitev možnosti za povečanje mednarodne vloge evra  v sektorjih </w:t>
      </w:r>
      <w:r w:rsidR="001E1A68" w:rsidRPr="000102E1">
        <w:rPr>
          <w:rFonts w:ascii="Arial" w:hAnsi="Arial" w:cs="Arial"/>
          <w:b/>
          <w:i/>
        </w:rPr>
        <w:t>kmetijsk</w:t>
      </w:r>
      <w:r w:rsidR="002E2E89" w:rsidRPr="000102E1">
        <w:rPr>
          <w:rFonts w:ascii="Arial" w:hAnsi="Arial" w:cs="Arial"/>
          <w:b/>
          <w:i/>
        </w:rPr>
        <w:t>ih</w:t>
      </w:r>
      <w:r w:rsidR="001E1A68" w:rsidRPr="000102E1">
        <w:rPr>
          <w:rFonts w:ascii="Arial" w:hAnsi="Arial" w:cs="Arial"/>
          <w:b/>
          <w:i/>
        </w:rPr>
        <w:t xml:space="preserve"> in prehransk</w:t>
      </w:r>
      <w:r w:rsidR="002E2E89" w:rsidRPr="000102E1">
        <w:rPr>
          <w:rFonts w:ascii="Arial" w:hAnsi="Arial" w:cs="Arial"/>
          <w:b/>
          <w:i/>
        </w:rPr>
        <w:t>ih proizvodov, kovin</w:t>
      </w:r>
      <w:r w:rsidR="001E1A68" w:rsidRPr="000102E1">
        <w:rPr>
          <w:rFonts w:ascii="Arial" w:hAnsi="Arial" w:cs="Arial"/>
          <w:b/>
          <w:i/>
        </w:rPr>
        <w:t xml:space="preserve"> in </w:t>
      </w:r>
      <w:r w:rsidR="002E2E89" w:rsidRPr="000102E1">
        <w:rPr>
          <w:rFonts w:ascii="Arial" w:hAnsi="Arial" w:cs="Arial"/>
          <w:b/>
          <w:i/>
        </w:rPr>
        <w:t>mineralov,</w:t>
      </w:r>
      <w:r w:rsidR="001E1A68" w:rsidRPr="000102E1">
        <w:rPr>
          <w:rFonts w:ascii="Arial" w:hAnsi="Arial" w:cs="Arial"/>
          <w:b/>
          <w:i/>
        </w:rPr>
        <w:t xml:space="preserve"> na področju letalstva, pomorskega in železniškega prometa. Naslednje posvetovanje v tem nizu bo posvetovanje o energiji. Člani lahko na SBRA dobijo dodatne informacije o celotnem nizu posvetovanj.</w:t>
      </w:r>
    </w:p>
    <w:p w:rsidR="004B1DE5" w:rsidRPr="000102E1" w:rsidRDefault="004B1DE5" w:rsidP="000102E1">
      <w:pPr>
        <w:rPr>
          <w:rFonts w:ascii="Arial" w:hAnsi="Arial" w:cs="Arial"/>
          <w:sz w:val="20"/>
          <w:szCs w:val="20"/>
        </w:rPr>
      </w:pPr>
      <w:r w:rsidRPr="000102E1">
        <w:rPr>
          <w:rFonts w:ascii="Arial" w:hAnsi="Arial" w:cs="Arial"/>
          <w:sz w:val="20"/>
          <w:szCs w:val="20"/>
        </w:rPr>
        <w:t>Namen posvetovanja o vlogi evra na deviznih trgih je oceniti vlogo evra na teh trgih zlasti v primerjavi z drugimi pomembnimi valutami, ter ugotoviti, ali se z evrom trguje učinkovito in na podlagi ustrezne likvidnosti trga.</w:t>
      </w:r>
    </w:p>
    <w:p w:rsidR="004B1DE5" w:rsidRPr="000102E1" w:rsidRDefault="004B1DE5" w:rsidP="000102E1">
      <w:pPr>
        <w:rPr>
          <w:rFonts w:ascii="Arial" w:hAnsi="Arial" w:cs="Arial"/>
          <w:sz w:val="20"/>
          <w:szCs w:val="20"/>
        </w:rPr>
      </w:pPr>
      <w:r w:rsidRPr="000102E1">
        <w:rPr>
          <w:rFonts w:ascii="Arial" w:hAnsi="Arial" w:cs="Arial"/>
          <w:sz w:val="20"/>
          <w:szCs w:val="20"/>
        </w:rPr>
        <w:t xml:space="preserve">Namen posvetovanja o vlogi evra na področju surovin (kovin in mineralov) ter agroživilskih proizvodov je najti načine za povečanje obsega trgovine, </w:t>
      </w:r>
      <w:proofErr w:type="spellStart"/>
      <w:r w:rsidRPr="000102E1">
        <w:rPr>
          <w:rFonts w:ascii="Arial" w:hAnsi="Arial" w:cs="Arial"/>
          <w:sz w:val="20"/>
          <w:szCs w:val="20"/>
        </w:rPr>
        <w:t>denominirane</w:t>
      </w:r>
      <w:proofErr w:type="spellEnd"/>
      <w:r w:rsidRPr="000102E1">
        <w:rPr>
          <w:rFonts w:ascii="Arial" w:hAnsi="Arial" w:cs="Arial"/>
          <w:sz w:val="20"/>
          <w:szCs w:val="20"/>
        </w:rPr>
        <w:t xml:space="preserve"> v evrih. Enako  velja za posvetovanje za preučitev morebitnih ukrepov, namenjenih spodbujanju uporabe evra v sektorju proizvodnje prevoznih sredstev.</w:t>
      </w:r>
    </w:p>
    <w:p w:rsidR="001E1A68" w:rsidRPr="000102E1" w:rsidRDefault="009010D3" w:rsidP="000102E1">
      <w:pPr>
        <w:rPr>
          <w:rFonts w:ascii="Arial" w:hAnsi="Arial" w:cs="Arial"/>
          <w:sz w:val="20"/>
          <w:szCs w:val="20"/>
        </w:rPr>
      </w:pPr>
      <w:r w:rsidRPr="000102E1">
        <w:rPr>
          <w:rFonts w:ascii="Arial" w:hAnsi="Arial" w:cs="Arial"/>
          <w:sz w:val="20"/>
          <w:szCs w:val="20"/>
        </w:rPr>
        <w:t>Evropska komisija bo 14. februarja v Bruslju organizirala delavnico za povečanje mednarodne vloge evra na področju energije. Za udeležbo se je že mogoče registrirati. Delavnica je mišljena kot izmenjava mnenj deležnikov o mehanizmih za implementacijo priporočil Evropske komisije o mednarodni vlogi evra na področju energije, ki jih je objavila decembra 2018.</w:t>
      </w:r>
    </w:p>
    <w:p w:rsidR="009010D3" w:rsidRPr="000102E1" w:rsidRDefault="009010D3" w:rsidP="000102E1">
      <w:pPr>
        <w:rPr>
          <w:rFonts w:ascii="Arial" w:hAnsi="Arial" w:cs="Arial"/>
          <w:sz w:val="20"/>
          <w:szCs w:val="20"/>
        </w:rPr>
      </w:pPr>
      <w:r w:rsidRPr="000102E1">
        <w:rPr>
          <w:rFonts w:ascii="Arial" w:hAnsi="Arial" w:cs="Arial"/>
          <w:sz w:val="20"/>
          <w:szCs w:val="20"/>
        </w:rPr>
        <w:t xml:space="preserve">Vsa posvetovanja temeljijo na komunikaciji Evropske komisije o povečanju mednarodne vloge evra. </w:t>
      </w:r>
    </w:p>
    <w:p w:rsidR="004B1DE5" w:rsidRPr="000102E1" w:rsidRDefault="004B1DE5" w:rsidP="000102E1">
      <w:pPr>
        <w:rPr>
          <w:rFonts w:ascii="Arial" w:hAnsi="Arial" w:cs="Arial"/>
          <w:b/>
          <w:sz w:val="20"/>
          <w:szCs w:val="20"/>
        </w:rPr>
      </w:pPr>
      <w:r w:rsidRPr="000102E1">
        <w:rPr>
          <w:rFonts w:ascii="Arial" w:hAnsi="Arial" w:cs="Arial"/>
          <w:b/>
          <w:sz w:val="20"/>
          <w:szCs w:val="20"/>
        </w:rPr>
        <w:t>Koristne informacije:</w:t>
      </w:r>
    </w:p>
    <w:p w:rsidR="004B1DE5" w:rsidRPr="000102E1" w:rsidRDefault="004B1DE5" w:rsidP="000102E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2E1">
        <w:rPr>
          <w:rFonts w:ascii="Arial" w:hAnsi="Arial" w:cs="Arial"/>
          <w:sz w:val="20"/>
          <w:szCs w:val="20"/>
        </w:rPr>
        <w:t>Predlog za okrepite</w:t>
      </w:r>
      <w:r w:rsidR="006E1DB9" w:rsidRPr="000102E1">
        <w:rPr>
          <w:rFonts w:ascii="Arial" w:hAnsi="Arial" w:cs="Arial"/>
          <w:sz w:val="20"/>
          <w:szCs w:val="20"/>
        </w:rPr>
        <w:t>v vloge evra v svetu:</w:t>
      </w:r>
    </w:p>
    <w:p w:rsidR="006E1DB9" w:rsidRPr="000102E1" w:rsidRDefault="006E1DB9" w:rsidP="000102E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6" w:history="1">
        <w:r w:rsidRPr="000102E1">
          <w:rPr>
            <w:rStyle w:val="Hiperpovezava"/>
            <w:rFonts w:ascii="Arial" w:hAnsi="Arial" w:cs="Arial"/>
            <w:sz w:val="20"/>
            <w:szCs w:val="20"/>
          </w:rPr>
          <w:t>https://ec.europa.eu/info/files/communication-towards-stronger-international-role-euro_en</w:t>
        </w:r>
      </w:hyperlink>
    </w:p>
    <w:p w:rsidR="006E1DB9" w:rsidRPr="000102E1" w:rsidRDefault="006E1DB9" w:rsidP="000102E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2E1">
        <w:rPr>
          <w:rFonts w:ascii="Arial" w:hAnsi="Arial" w:cs="Arial"/>
          <w:sz w:val="20"/>
          <w:szCs w:val="20"/>
        </w:rPr>
        <w:t>Predlog za okrepitev vloge evra na področju energije:</w:t>
      </w:r>
    </w:p>
    <w:p w:rsidR="006E1DB9" w:rsidRPr="000102E1" w:rsidRDefault="006E1DB9" w:rsidP="000102E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7" w:history="1">
        <w:r w:rsidRPr="000102E1">
          <w:rPr>
            <w:rStyle w:val="Hiperpovezava"/>
            <w:rFonts w:ascii="Arial" w:hAnsi="Arial" w:cs="Arial"/>
            <w:sz w:val="20"/>
            <w:szCs w:val="20"/>
          </w:rPr>
          <w:t>https://ec.europa.eu/info/publications/recommendation-international-role-euro-field-energy_en</w:t>
        </w:r>
      </w:hyperlink>
    </w:p>
    <w:p w:rsidR="006E1DB9" w:rsidRPr="000102E1" w:rsidRDefault="006E1DB9" w:rsidP="000102E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2E1">
        <w:rPr>
          <w:rFonts w:ascii="Arial" w:hAnsi="Arial" w:cs="Arial"/>
          <w:sz w:val="20"/>
          <w:szCs w:val="20"/>
        </w:rPr>
        <w:t>Napoved delavnice 14. februarja:</w:t>
      </w:r>
    </w:p>
    <w:p w:rsidR="006E1DB9" w:rsidRPr="000102E1" w:rsidRDefault="006E1DB9" w:rsidP="000102E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8" w:history="1">
        <w:r w:rsidRPr="000102E1">
          <w:rPr>
            <w:rStyle w:val="Hiperpovezava"/>
            <w:rFonts w:ascii="Arial" w:hAnsi="Arial" w:cs="Arial"/>
            <w:sz w:val="20"/>
            <w:szCs w:val="20"/>
          </w:rPr>
          <w:t>https://ec.europa.eu/info/events/international-role-euro-field-energy-2019-feb-14_en</w:t>
        </w:r>
      </w:hyperlink>
    </w:p>
    <w:p w:rsidR="006E1DB9" w:rsidRPr="000102E1" w:rsidRDefault="006E1DB9" w:rsidP="000102E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2E1">
        <w:rPr>
          <w:rFonts w:ascii="Arial" w:hAnsi="Arial" w:cs="Arial"/>
          <w:sz w:val="20"/>
          <w:szCs w:val="20"/>
        </w:rPr>
        <w:t>Posvetovanje o evru na deviznih trgih:</w:t>
      </w:r>
    </w:p>
    <w:p w:rsidR="006E1DB9" w:rsidRPr="000102E1" w:rsidRDefault="006E1DB9" w:rsidP="000102E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9" w:history="1">
        <w:r w:rsidRPr="000102E1">
          <w:rPr>
            <w:rStyle w:val="Hiperpovezava"/>
            <w:rFonts w:ascii="Arial" w:hAnsi="Arial" w:cs="Arial"/>
            <w:sz w:val="20"/>
            <w:szCs w:val="20"/>
          </w:rPr>
          <w:t>https://ec.europa.eu/info/consultations/finance-2019-euro-foreign-exchange_sl</w:t>
        </w:r>
      </w:hyperlink>
    </w:p>
    <w:p w:rsidR="006E1DB9" w:rsidRPr="000102E1" w:rsidRDefault="006E1DB9" w:rsidP="000102E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2E1">
        <w:rPr>
          <w:rFonts w:ascii="Arial" w:hAnsi="Arial" w:cs="Arial"/>
          <w:sz w:val="20"/>
          <w:szCs w:val="20"/>
        </w:rPr>
        <w:t xml:space="preserve">Posvetovanje o evru na </w:t>
      </w:r>
      <w:r w:rsidR="00B86BAB" w:rsidRPr="000102E1">
        <w:rPr>
          <w:rFonts w:ascii="Arial" w:hAnsi="Arial" w:cs="Arial"/>
          <w:sz w:val="20"/>
          <w:szCs w:val="20"/>
        </w:rPr>
        <w:t>področju kmetijskih in prehranskih proizvodov:</w:t>
      </w:r>
    </w:p>
    <w:p w:rsidR="00B86BAB" w:rsidRPr="000102E1" w:rsidRDefault="00B86BAB" w:rsidP="000102E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0" w:history="1">
        <w:r w:rsidRPr="000102E1">
          <w:rPr>
            <w:rStyle w:val="Hiperpovezava"/>
            <w:rFonts w:ascii="Arial" w:hAnsi="Arial" w:cs="Arial"/>
            <w:sz w:val="20"/>
            <w:szCs w:val="20"/>
          </w:rPr>
          <w:t>https://ec.europa.eu/eusurvey/runner/Euro_international_agri_trade_survey2019</w:t>
        </w:r>
      </w:hyperlink>
    </w:p>
    <w:p w:rsidR="00B86BAB" w:rsidRPr="000102E1" w:rsidRDefault="00B86BAB" w:rsidP="000102E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2E1">
        <w:rPr>
          <w:rFonts w:ascii="Arial" w:hAnsi="Arial" w:cs="Arial"/>
          <w:sz w:val="20"/>
          <w:szCs w:val="20"/>
        </w:rPr>
        <w:t>Posvetovanje o evru na področju kovin in mineralov:</w:t>
      </w:r>
    </w:p>
    <w:p w:rsidR="00B86BAB" w:rsidRPr="000102E1" w:rsidRDefault="00B86BAB" w:rsidP="000102E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1" w:history="1">
        <w:r w:rsidRPr="000102E1">
          <w:rPr>
            <w:rStyle w:val="Hiperpovezava"/>
            <w:rFonts w:ascii="Arial" w:hAnsi="Arial" w:cs="Arial"/>
            <w:sz w:val="20"/>
            <w:szCs w:val="20"/>
          </w:rPr>
          <w:t>https://ec.europa.eu/eusurvey/runner/UseofeuroRawMaterials</w:t>
        </w:r>
      </w:hyperlink>
    </w:p>
    <w:p w:rsidR="00B86BAB" w:rsidRPr="000102E1" w:rsidRDefault="00B86BAB" w:rsidP="000102E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2E1">
        <w:rPr>
          <w:rFonts w:ascii="Arial" w:hAnsi="Arial" w:cs="Arial"/>
          <w:sz w:val="20"/>
          <w:szCs w:val="20"/>
        </w:rPr>
        <w:t>Posvetovanje o evru na področju proizvodnje prometnih sredstev na področju letalstva:</w:t>
      </w:r>
    </w:p>
    <w:p w:rsidR="00B86BAB" w:rsidRPr="000102E1" w:rsidRDefault="00B86BAB" w:rsidP="000102E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2" w:history="1">
        <w:r w:rsidRPr="000102E1">
          <w:rPr>
            <w:rStyle w:val="Hiperpovezava"/>
            <w:rFonts w:ascii="Arial" w:hAnsi="Arial" w:cs="Arial"/>
            <w:sz w:val="20"/>
            <w:szCs w:val="20"/>
          </w:rPr>
          <w:t>https://ec.europa.eu/eusurvey/runner/EuroFORaircrafts</w:t>
        </w:r>
      </w:hyperlink>
    </w:p>
    <w:p w:rsidR="00B86BAB" w:rsidRPr="000102E1" w:rsidRDefault="00B86BAB" w:rsidP="000102E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02E1">
        <w:rPr>
          <w:rFonts w:ascii="Arial" w:hAnsi="Arial" w:cs="Arial"/>
          <w:sz w:val="20"/>
          <w:szCs w:val="20"/>
        </w:rPr>
        <w:t>Posvetovanje o evru na področju prometnih sredstev za pomorstvo in železnico:</w:t>
      </w:r>
    </w:p>
    <w:p w:rsidR="00B86BAB" w:rsidRPr="000102E1" w:rsidRDefault="00B86BAB" w:rsidP="000102E1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3" w:history="1">
        <w:r w:rsidRPr="000102E1">
          <w:rPr>
            <w:rStyle w:val="Hiperpovezava"/>
            <w:rFonts w:ascii="Arial" w:hAnsi="Arial" w:cs="Arial"/>
            <w:sz w:val="20"/>
            <w:szCs w:val="20"/>
          </w:rPr>
          <w:t>https://ec.europa.eu/eusurvey/runner/UseofEuroMaritimeRail</w:t>
        </w:r>
      </w:hyperlink>
    </w:p>
    <w:p w:rsidR="00B86BAB" w:rsidRPr="000102E1" w:rsidRDefault="00B86BAB" w:rsidP="000102E1">
      <w:pPr>
        <w:rPr>
          <w:rFonts w:ascii="Arial" w:hAnsi="Arial" w:cs="Arial"/>
          <w:sz w:val="20"/>
          <w:szCs w:val="20"/>
        </w:rPr>
      </w:pPr>
      <w:r w:rsidRPr="000102E1">
        <w:rPr>
          <w:rFonts w:ascii="Arial" w:hAnsi="Arial" w:cs="Arial"/>
          <w:sz w:val="20"/>
          <w:szCs w:val="20"/>
        </w:rPr>
        <w:t>Pripravila:</w:t>
      </w:r>
    </w:p>
    <w:p w:rsidR="00B86BAB" w:rsidRPr="000102E1" w:rsidRDefault="00B86BAB" w:rsidP="000102E1">
      <w:pPr>
        <w:rPr>
          <w:rFonts w:ascii="Arial" w:hAnsi="Arial" w:cs="Arial"/>
          <w:sz w:val="20"/>
          <w:szCs w:val="20"/>
        </w:rPr>
      </w:pPr>
      <w:r w:rsidRPr="000102E1">
        <w:rPr>
          <w:rFonts w:ascii="Arial" w:hAnsi="Arial" w:cs="Arial"/>
          <w:sz w:val="20"/>
          <w:szCs w:val="20"/>
        </w:rPr>
        <w:t>Darja Kocbek</w:t>
      </w:r>
    </w:p>
    <w:p w:rsidR="006E1DB9" w:rsidRDefault="006E1DB9"/>
    <w:sectPr w:rsidR="006E1DB9" w:rsidSect="00B4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7DB"/>
    <w:multiLevelType w:val="hybridMultilevel"/>
    <w:tmpl w:val="2BF48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070"/>
    <w:rsid w:val="000102E1"/>
    <w:rsid w:val="001E1A68"/>
    <w:rsid w:val="002E2E89"/>
    <w:rsid w:val="003B3E97"/>
    <w:rsid w:val="004806E1"/>
    <w:rsid w:val="004B1DE5"/>
    <w:rsid w:val="00502070"/>
    <w:rsid w:val="006E1DB9"/>
    <w:rsid w:val="009010D3"/>
    <w:rsid w:val="00B459D4"/>
    <w:rsid w:val="00B8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59D4"/>
  </w:style>
  <w:style w:type="paragraph" w:styleId="Naslov2">
    <w:name w:val="heading 2"/>
    <w:basedOn w:val="Navaden"/>
    <w:next w:val="Navaden"/>
    <w:link w:val="Naslov2Znak"/>
    <w:rsid w:val="000102E1"/>
    <w:pPr>
      <w:keepNext/>
      <w:keepLines/>
      <w:spacing w:before="360" w:after="120" w:afterAutospacing="0" w:line="276" w:lineRule="auto"/>
      <w:contextualSpacing/>
      <w:jc w:val="left"/>
      <w:outlineLvl w:val="1"/>
    </w:pPr>
    <w:rPr>
      <w:rFonts w:ascii="Arial" w:eastAsia="Arial" w:hAnsi="Arial" w:cs="Arial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207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02E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102E1"/>
    <w:rPr>
      <w:rFonts w:ascii="Arial" w:eastAsia="Arial" w:hAnsi="Arial" w:cs="Arial"/>
      <w:sz w:val="32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02E1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0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events/international-role-euro-field-energy-2019-feb-14_en" TargetMode="External"/><Relationship Id="rId13" Type="http://schemas.openxmlformats.org/officeDocument/2006/relationships/hyperlink" Target="https://ec.europa.eu/eusurvey/runner/UseofEuroMaritimeR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publications/recommendation-international-role-euro-field-energy_en" TargetMode="External"/><Relationship Id="rId12" Type="http://schemas.openxmlformats.org/officeDocument/2006/relationships/hyperlink" Target="https://ec.europa.eu/eusurvey/runner/EuroFORaircraf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info/files/communication-towards-stronger-international-role-euro_en" TargetMode="External"/><Relationship Id="rId11" Type="http://schemas.openxmlformats.org/officeDocument/2006/relationships/hyperlink" Target="https://ec.europa.eu/eusurvey/runner/UseofeuroRawMaterial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c.europa.eu/eusurvey/runner/Euro_international_agri_trade_survey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consultations/finance-2019-euro-foreign-exchange_s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520</Words>
  <Characters>3122</Characters>
  <Application>Microsoft Office Word</Application>
  <DocSecurity>0</DocSecurity>
  <Lines>48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2019-01-29T19:00:00Z</dcterms:created>
  <dcterms:modified xsi:type="dcterms:W3CDTF">2019-01-29T20:19:00Z</dcterms:modified>
</cp:coreProperties>
</file>